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560"/>
        <w:jc w:val="right"/>
        <w:rPr>
          <w:rFonts w:hint="eastAsia" w:ascii="仿宋_GB2312" w:hAnsi="宋体" w:eastAsia="仿宋_GB2312"/>
          <w:szCs w:val="24"/>
          <w:highlight w:val="none"/>
        </w:rPr>
      </w:pPr>
      <w:bookmarkStart w:id="0" w:name="OLE_LINK7"/>
      <w:bookmarkStart w:id="1" w:name="OLE_LINK9"/>
      <w:bookmarkStart w:id="2" w:name="OLE_LINK10"/>
      <w:bookmarkStart w:id="3" w:name="OLE_LINK8"/>
    </w:p>
    <w:p>
      <w:pPr>
        <w:jc w:val="center"/>
        <w:rPr>
          <w:rFonts w:hint="eastAsia" w:ascii="宋体" w:hAnsi="宋体"/>
          <w:b/>
          <w:spacing w:val="32"/>
          <w:w w:val="90"/>
          <w:sz w:val="52"/>
          <w:szCs w:val="52"/>
          <w:highlight w:val="none"/>
        </w:rPr>
      </w:pPr>
      <w:r>
        <w:rPr>
          <w:rFonts w:hint="eastAsia" w:ascii="宋体" w:hAnsi="宋体"/>
          <w:b/>
          <w:spacing w:val="32"/>
          <w:w w:val="90"/>
          <w:sz w:val="52"/>
          <w:szCs w:val="52"/>
          <w:highlight w:val="none"/>
        </w:rPr>
        <w:t>中国水利水电第十二工程局有限公司</w:t>
      </w:r>
    </w:p>
    <w:p>
      <w:pPr>
        <w:jc w:val="center"/>
        <w:rPr>
          <w:rFonts w:hint="eastAsia" w:ascii="宋体" w:hAnsi="宋体"/>
          <w:b/>
          <w:spacing w:val="32"/>
          <w:w w:val="90"/>
          <w:sz w:val="52"/>
          <w:szCs w:val="52"/>
          <w:highlight w:val="none"/>
        </w:rPr>
      </w:pPr>
      <w:r>
        <w:rPr>
          <w:rFonts w:hint="eastAsia" w:ascii="宋体" w:hAnsi="宋体"/>
          <w:b/>
          <w:spacing w:val="32"/>
          <w:w w:val="90"/>
          <w:sz w:val="52"/>
          <w:szCs w:val="52"/>
          <w:highlight w:val="none"/>
        </w:rPr>
        <w:t>浙江中水数建科技有限公司</w:t>
      </w:r>
    </w:p>
    <w:p>
      <w:pPr>
        <w:tabs>
          <w:tab w:val="center" w:pos="4411"/>
        </w:tabs>
        <w:jc w:val="center"/>
        <w:rPr>
          <w:rFonts w:hint="eastAsia" w:ascii="宋体" w:hAnsi="宋体"/>
          <w:b/>
          <w:spacing w:val="32"/>
          <w:w w:val="90"/>
          <w:sz w:val="52"/>
          <w:szCs w:val="52"/>
          <w:highlight w:val="none"/>
        </w:rPr>
      </w:pPr>
      <w:bookmarkStart w:id="4" w:name="OLE_LINK5"/>
      <w:r>
        <w:rPr>
          <w:rFonts w:hint="eastAsia" w:ascii="宋体" w:hAnsi="宋体"/>
          <w:b/>
          <w:spacing w:val="32"/>
          <w:w w:val="90"/>
          <w:sz w:val="52"/>
          <w:szCs w:val="52"/>
          <w:highlight w:val="none"/>
        </w:rPr>
        <w:t>无人机控制平台开发项目</w:t>
      </w:r>
    </w:p>
    <w:p>
      <w:pPr>
        <w:tabs>
          <w:tab w:val="center" w:pos="4411"/>
        </w:tabs>
        <w:jc w:val="center"/>
        <w:rPr>
          <w:rFonts w:hint="eastAsia" w:ascii="宋体" w:hAnsi="宋体"/>
          <w:b/>
          <w:spacing w:val="32"/>
          <w:w w:val="90"/>
          <w:sz w:val="72"/>
          <w:szCs w:val="72"/>
          <w:highlight w:val="none"/>
        </w:rPr>
      </w:pPr>
      <w:r>
        <w:rPr>
          <w:rFonts w:hint="eastAsia" w:ascii="宋体" w:hAnsi="宋体"/>
          <w:b/>
          <w:spacing w:val="32"/>
          <w:w w:val="90"/>
          <w:sz w:val="72"/>
          <w:szCs w:val="72"/>
          <w:highlight w:val="none"/>
        </w:rPr>
        <w:t>谈判采购文件</w:t>
      </w:r>
    </w:p>
    <w:bookmarkEnd w:id="4"/>
    <w:p>
      <w:pPr>
        <w:ind w:firstLine="674"/>
        <w:jc w:val="center"/>
        <w:rPr>
          <w:rFonts w:hint="eastAsia" w:ascii="仿宋_GB2312" w:hAnsi="宋体" w:eastAsia="仿宋_GB2312"/>
          <w:b/>
          <w:spacing w:val="32"/>
          <w:w w:val="90"/>
          <w:sz w:val="30"/>
          <w:szCs w:val="30"/>
          <w:highlight w:val="none"/>
        </w:rPr>
      </w:pPr>
    </w:p>
    <w:p>
      <w:pPr>
        <w:ind w:firstLine="674"/>
        <w:jc w:val="center"/>
        <w:rPr>
          <w:rFonts w:hint="eastAsia" w:ascii="仿宋_GB2312" w:hAnsi="宋体" w:eastAsia="仿宋_GB2312"/>
          <w:b/>
          <w:spacing w:val="32"/>
          <w:w w:val="90"/>
          <w:sz w:val="30"/>
          <w:szCs w:val="30"/>
          <w:highlight w:val="none"/>
        </w:rPr>
      </w:pPr>
    </w:p>
    <w:p>
      <w:pPr>
        <w:snapToGrid w:val="0"/>
        <w:jc w:val="center"/>
        <w:rPr>
          <w:rFonts w:hint="eastAsia" w:ascii="仿宋_GB2312" w:hAnsi="宋体" w:eastAsia="仿宋_GB2312"/>
          <w:b/>
          <w:spacing w:val="32"/>
          <w:w w:val="90"/>
          <w:sz w:val="48"/>
          <w:szCs w:val="48"/>
          <w:highlight w:val="none"/>
        </w:rPr>
      </w:pPr>
      <w:r>
        <w:rPr>
          <w:rFonts w:ascii="仿宋_GB2312" w:hAnsi="宋体" w:eastAsia="仿宋_GB2312"/>
          <w:b/>
          <w:spacing w:val="32"/>
          <w:w w:val="90"/>
          <w:sz w:val="48"/>
          <w:szCs w:val="48"/>
          <w:highlight w:val="none"/>
        </w:rPr>
        <w:drawing>
          <wp:inline distT="0" distB="0" distL="114300" distR="114300">
            <wp:extent cx="2372995" cy="2160905"/>
            <wp:effectExtent l="0" t="0" r="1905" b="10795"/>
            <wp:docPr id="1" name="图片 1" descr="说明: a71ea8d3fd1f41349d1d9ac7251f95cad1c85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a71ea8d3fd1f41349d1d9ac7251f95cad1c85e64"/>
                    <pic:cNvPicPr>
                      <a:picLocks noChangeAspect="1"/>
                    </pic:cNvPicPr>
                  </pic:nvPicPr>
                  <pic:blipFill>
                    <a:blip r:embed="rId14"/>
                    <a:srcRect l="16910" t="8540" r="23817" b="9366"/>
                    <a:stretch>
                      <a:fillRect/>
                    </a:stretch>
                  </pic:blipFill>
                  <pic:spPr>
                    <a:xfrm>
                      <a:off x="0" y="0"/>
                      <a:ext cx="2372995" cy="2160905"/>
                    </a:xfrm>
                    <a:prstGeom prst="rect">
                      <a:avLst/>
                    </a:prstGeom>
                    <a:noFill/>
                    <a:ln>
                      <a:noFill/>
                    </a:ln>
                  </pic:spPr>
                </pic:pic>
              </a:graphicData>
            </a:graphic>
          </wp:inline>
        </w:drawing>
      </w:r>
    </w:p>
    <w:p>
      <w:pPr>
        <w:snapToGrid w:val="0"/>
        <w:jc w:val="center"/>
        <w:rPr>
          <w:rFonts w:hint="eastAsia" w:ascii="仿宋_GB2312" w:hAnsi="宋体" w:eastAsia="仿宋_GB2312"/>
          <w:b/>
          <w:spacing w:val="32"/>
          <w:w w:val="90"/>
          <w:sz w:val="48"/>
          <w:szCs w:val="48"/>
          <w:highlight w:val="none"/>
        </w:rPr>
      </w:pPr>
    </w:p>
    <w:p>
      <w:pPr>
        <w:snapToGrid w:val="0"/>
        <w:jc w:val="center"/>
        <w:rPr>
          <w:rFonts w:hint="eastAsia" w:ascii="仿宋_GB2312" w:hAnsi="宋体" w:eastAsia="仿宋_GB2312"/>
          <w:b/>
          <w:spacing w:val="32"/>
          <w:w w:val="90"/>
          <w:sz w:val="48"/>
          <w:szCs w:val="48"/>
          <w:highlight w:val="none"/>
        </w:rPr>
      </w:pPr>
    </w:p>
    <w:p>
      <w:pPr>
        <w:jc w:val="center"/>
        <w:rPr>
          <w:rFonts w:hint="eastAsia" w:ascii="宋体" w:hAnsi="宋体"/>
          <w:sz w:val="32"/>
          <w:szCs w:val="32"/>
          <w:highlight w:val="none"/>
        </w:rPr>
      </w:pPr>
      <w:r>
        <w:rPr>
          <w:rFonts w:hint="eastAsia" w:ascii="宋体" w:hAnsi="宋体"/>
          <w:sz w:val="32"/>
          <w:szCs w:val="32"/>
          <w:highlight w:val="none"/>
        </w:rPr>
        <w:t>二○二五年十二月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hint="eastAsia" w:ascii="宋体" w:hAnsi="宋体"/>
          <w:sz w:val="32"/>
          <w:szCs w:val="32"/>
          <w:highlight w:val="none"/>
        </w:rPr>
        <w:sectPr>
          <w:headerReference r:id="rId3" w:type="default"/>
          <w:footerReference r:id="rId4" w:type="default"/>
          <w:footerReference r:id="rId5" w:type="even"/>
          <w:pgSz w:w="11906" w:h="16838"/>
          <w:pgMar w:top="1418" w:right="1558" w:bottom="1418" w:left="1418" w:header="851" w:footer="964" w:gutter="0"/>
          <w:cols w:space="720" w:num="1"/>
          <w:docGrid w:type="lines" w:linePitch="326" w:charSpace="0"/>
        </w:sectPr>
      </w:pPr>
      <w:r>
        <w:rPr>
          <w:rFonts w:hint="eastAsia" w:ascii="宋体" w:hAnsi="宋体"/>
          <w:sz w:val="32"/>
          <w:szCs w:val="32"/>
          <w:highlight w:val="none"/>
        </w:rPr>
        <w:t>中国·杭州</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highlight w:val="none"/>
        </w:rPr>
      </w:pPr>
      <w:r>
        <w:rPr>
          <w:rFonts w:hint="eastAsia" w:ascii="宋体" w:hAnsi="宋体"/>
          <w:b/>
          <w:sz w:val="30"/>
          <w:szCs w:val="30"/>
          <w:highlight w:val="none"/>
        </w:rPr>
        <w:t xml:space="preserve">目 </w:t>
      </w:r>
      <w:r>
        <w:rPr>
          <w:rFonts w:ascii="宋体" w:hAnsi="宋体"/>
          <w:b/>
          <w:sz w:val="30"/>
          <w:szCs w:val="30"/>
          <w:highlight w:val="none"/>
        </w:rPr>
        <w:t xml:space="preserve">  </w:t>
      </w:r>
      <w:r>
        <w:rPr>
          <w:rFonts w:hint="eastAsia" w:ascii="宋体" w:hAnsi="宋体"/>
          <w:b/>
          <w:sz w:val="30"/>
          <w:szCs w:val="30"/>
          <w:highlight w:val="none"/>
        </w:rPr>
        <w:t>录</w:t>
      </w:r>
      <w:r>
        <w:rPr>
          <w:rFonts w:eastAsia="仿宋" w:cs="Times New Roman"/>
          <w:sz w:val="24"/>
          <w:szCs w:val="24"/>
          <w:highlight w:val="none"/>
        </w:rPr>
        <w:fldChar w:fldCharType="begin"/>
      </w:r>
      <w:r>
        <w:rPr>
          <w:rFonts w:eastAsia="仿宋" w:cs="Times New Roman"/>
          <w:sz w:val="24"/>
          <w:szCs w:val="24"/>
          <w:highlight w:val="none"/>
        </w:rPr>
        <w:instrText xml:space="preserve"> TOC \o "1-3" \h \z \u </w:instrText>
      </w:r>
      <w:r>
        <w:rPr>
          <w:rFonts w:eastAsia="仿宋" w:cs="Times New Roman"/>
          <w:sz w:val="24"/>
          <w:szCs w:val="24"/>
          <w:highlight w:val="none"/>
        </w:rPr>
        <w:fldChar w:fldCharType="separate"/>
      </w:r>
    </w:p>
    <w:p>
      <w:pPr>
        <w:pStyle w:val="17"/>
        <w:tabs>
          <w:tab w:val="left" w:pos="960"/>
          <w:tab w:val="right" w:leader="dot" w:pos="9060"/>
        </w:tabs>
        <w:rPr>
          <w:rFonts w:hint="eastAsia" w:ascii="等线" w:hAnsi="等线" w:eastAsia="等线" w:cs="Times New Roman"/>
          <w:b w:val="0"/>
          <w:bCs w:val="0"/>
          <w:caps w:val="0"/>
          <w:kern w:val="2"/>
          <w:sz w:val="21"/>
          <w:szCs w:val="22"/>
          <w:highlight w:val="none"/>
        </w:rPr>
      </w:pPr>
      <w:r>
        <w:rPr>
          <w:highlight w:val="none"/>
        </w:rPr>
        <w:fldChar w:fldCharType="begin"/>
      </w:r>
      <w:r>
        <w:rPr>
          <w:highlight w:val="none"/>
        </w:rPr>
        <w:instrText xml:space="preserve"> HYPERLINK \l "_Toc58490760" </w:instrText>
      </w:r>
      <w:r>
        <w:rPr>
          <w:highlight w:val="none"/>
        </w:rPr>
        <w:fldChar w:fldCharType="separate"/>
      </w:r>
      <w:r>
        <w:rPr>
          <w:rStyle w:val="24"/>
          <w:color w:val="auto"/>
          <w:highlight w:val="none"/>
        </w:rPr>
        <w:t>第一章</w:t>
      </w:r>
      <w:r>
        <w:rPr>
          <w:rStyle w:val="24"/>
          <w:rFonts w:hint="eastAsia"/>
          <w:color w:val="auto"/>
          <w:highlight w:val="none"/>
        </w:rPr>
        <w:t xml:space="preserve">  </w:t>
      </w:r>
      <w:r>
        <w:rPr>
          <w:rStyle w:val="24"/>
          <w:color w:val="auto"/>
          <w:highlight w:val="none"/>
        </w:rPr>
        <w:t>谈判</w:t>
      </w:r>
      <w:r>
        <w:rPr>
          <w:rStyle w:val="24"/>
          <w:rFonts w:hint="eastAsia"/>
          <w:color w:val="auto"/>
          <w:highlight w:val="none"/>
        </w:rPr>
        <w:t>采购</w:t>
      </w:r>
      <w:r>
        <w:rPr>
          <w:rStyle w:val="24"/>
          <w:color w:val="auto"/>
          <w:highlight w:val="none"/>
        </w:rPr>
        <w:t>公告（公开竞谈）</w:t>
      </w:r>
      <w:r>
        <w:rPr>
          <w:highlight w:val="none"/>
        </w:rPr>
        <w:tab/>
      </w:r>
      <w:r>
        <w:rPr>
          <w:highlight w:val="none"/>
        </w:rPr>
        <w:fldChar w:fldCharType="begin"/>
      </w:r>
      <w:r>
        <w:rPr>
          <w:highlight w:val="none"/>
        </w:rPr>
        <w:instrText xml:space="preserve"> PAGEREF _Toc58490760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9060"/>
        </w:tabs>
        <w:rPr>
          <w:rFonts w:hint="eastAsia" w:ascii="等线" w:hAnsi="等线" w:eastAsia="等线" w:cs="Times New Roman"/>
          <w:b w:val="0"/>
          <w:bCs w:val="0"/>
          <w:caps w:val="0"/>
          <w:kern w:val="2"/>
          <w:sz w:val="21"/>
          <w:szCs w:val="22"/>
          <w:highlight w:val="none"/>
        </w:rPr>
      </w:pPr>
      <w:r>
        <w:rPr>
          <w:highlight w:val="none"/>
        </w:rPr>
        <w:fldChar w:fldCharType="begin"/>
      </w:r>
      <w:r>
        <w:rPr>
          <w:highlight w:val="none"/>
        </w:rPr>
        <w:instrText xml:space="preserve"> HYPERLINK \l "_Toc58490778" </w:instrText>
      </w:r>
      <w:r>
        <w:rPr>
          <w:highlight w:val="none"/>
        </w:rPr>
        <w:fldChar w:fldCharType="separate"/>
      </w:r>
      <w:r>
        <w:rPr>
          <w:rStyle w:val="24"/>
          <w:color w:val="auto"/>
          <w:highlight w:val="none"/>
        </w:rPr>
        <w:t>第二章  谈判响应人须知</w:t>
      </w:r>
      <w:r>
        <w:rPr>
          <w:highlight w:val="none"/>
        </w:rPr>
        <w:tab/>
      </w:r>
      <w:r>
        <w:rPr>
          <w:rFonts w:hint="eastAsia"/>
          <w:highlight w:val="none"/>
        </w:rPr>
        <w:t>4</w:t>
      </w:r>
      <w:r>
        <w:rPr>
          <w:rFonts w:hint="eastAsia"/>
          <w:highlight w:val="none"/>
        </w:rPr>
        <w:fldChar w:fldCharType="end"/>
      </w:r>
    </w:p>
    <w:p>
      <w:pPr>
        <w:pStyle w:val="17"/>
        <w:tabs>
          <w:tab w:val="right" w:leader="dot" w:pos="9060"/>
        </w:tabs>
        <w:rPr>
          <w:rFonts w:hint="eastAsia" w:ascii="等线" w:hAnsi="等线" w:cs="Times New Roman"/>
          <w:b w:val="0"/>
          <w:bCs w:val="0"/>
          <w:caps w:val="0"/>
          <w:kern w:val="2"/>
          <w:sz w:val="21"/>
          <w:szCs w:val="22"/>
          <w:highlight w:val="none"/>
        </w:rPr>
      </w:pPr>
      <w:r>
        <w:rPr>
          <w:highlight w:val="none"/>
        </w:rPr>
        <w:fldChar w:fldCharType="begin"/>
      </w:r>
      <w:r>
        <w:rPr>
          <w:highlight w:val="none"/>
        </w:rPr>
        <w:instrText xml:space="preserve"> HYPERLINK \l "_Toc58490805" </w:instrText>
      </w:r>
      <w:r>
        <w:rPr>
          <w:highlight w:val="none"/>
        </w:rPr>
        <w:fldChar w:fldCharType="separate"/>
      </w:r>
      <w:r>
        <w:rPr>
          <w:rStyle w:val="24"/>
          <w:color w:val="auto"/>
          <w:highlight w:val="none"/>
        </w:rPr>
        <w:t>第三章  评审办法</w:t>
      </w:r>
      <w:r>
        <w:rPr>
          <w:highlight w:val="none"/>
        </w:rPr>
        <w:tab/>
      </w:r>
      <w:r>
        <w:rPr>
          <w:rFonts w:hint="eastAsia"/>
          <w:highlight w:val="none"/>
        </w:rPr>
        <w:t>1</w:t>
      </w:r>
      <w:r>
        <w:rPr>
          <w:rFonts w:hint="eastAsia"/>
          <w:highlight w:val="none"/>
        </w:rPr>
        <w:fldChar w:fldCharType="end"/>
      </w:r>
      <w:r>
        <w:rPr>
          <w:rStyle w:val="24"/>
          <w:rFonts w:hint="eastAsia"/>
          <w:color w:val="auto"/>
          <w:highlight w:val="none"/>
        </w:rPr>
        <w:t>3</w:t>
      </w:r>
    </w:p>
    <w:p>
      <w:pPr>
        <w:pStyle w:val="17"/>
        <w:tabs>
          <w:tab w:val="right" w:leader="dot" w:pos="9060"/>
        </w:tabs>
        <w:rPr>
          <w:rStyle w:val="24"/>
          <w:color w:val="auto"/>
          <w:highlight w:val="none"/>
        </w:rPr>
      </w:pPr>
      <w:r>
        <w:rPr>
          <w:highlight w:val="none"/>
        </w:rPr>
        <w:fldChar w:fldCharType="begin"/>
      </w:r>
      <w:r>
        <w:rPr>
          <w:highlight w:val="none"/>
        </w:rPr>
        <w:instrText xml:space="preserve"> HYPERLINK \l "_Toc58490806" </w:instrText>
      </w:r>
      <w:r>
        <w:rPr>
          <w:highlight w:val="none"/>
        </w:rPr>
        <w:fldChar w:fldCharType="separate"/>
      </w:r>
      <w:r>
        <w:rPr>
          <w:rStyle w:val="24"/>
          <w:color w:val="auto"/>
          <w:highlight w:val="none"/>
        </w:rPr>
        <w:t>第四章  合同条款及格式</w:t>
      </w:r>
      <w:r>
        <w:rPr>
          <w:highlight w:val="none"/>
        </w:rPr>
        <w:tab/>
      </w:r>
      <w:r>
        <w:rPr>
          <w:rFonts w:hint="eastAsia"/>
          <w:highlight w:val="none"/>
        </w:rPr>
        <w:t>1</w:t>
      </w:r>
      <w:r>
        <w:rPr>
          <w:rFonts w:hint="eastAsia"/>
          <w:highlight w:val="none"/>
        </w:rPr>
        <w:fldChar w:fldCharType="end"/>
      </w:r>
      <w:r>
        <w:rPr>
          <w:rStyle w:val="24"/>
          <w:rFonts w:hint="eastAsia"/>
          <w:color w:val="auto"/>
          <w:highlight w:val="none"/>
        </w:rPr>
        <w:t>6</w:t>
      </w:r>
    </w:p>
    <w:p>
      <w:pPr>
        <w:pStyle w:val="17"/>
        <w:tabs>
          <w:tab w:val="right" w:leader="dot" w:pos="9060"/>
        </w:tabs>
        <w:rPr>
          <w:rFonts w:hint="eastAsia" w:ascii="等线" w:hAnsi="等线" w:cs="Times New Roman"/>
          <w:b w:val="0"/>
          <w:bCs w:val="0"/>
          <w:caps w:val="0"/>
          <w:kern w:val="2"/>
          <w:sz w:val="21"/>
          <w:szCs w:val="22"/>
          <w:highlight w:val="none"/>
        </w:rPr>
      </w:pPr>
      <w:r>
        <w:rPr>
          <w:highlight w:val="none"/>
        </w:rPr>
        <w:fldChar w:fldCharType="begin"/>
      </w:r>
      <w:r>
        <w:rPr>
          <w:highlight w:val="none"/>
        </w:rPr>
        <w:instrText xml:space="preserve"> HYPERLINK \l "_Toc58490813" </w:instrText>
      </w:r>
      <w:r>
        <w:rPr>
          <w:highlight w:val="none"/>
        </w:rPr>
        <w:fldChar w:fldCharType="separate"/>
      </w:r>
      <w:r>
        <w:rPr>
          <w:rStyle w:val="24"/>
          <w:color w:val="auto"/>
          <w:highlight w:val="none"/>
        </w:rPr>
        <w:t>第五章  响应文件格式</w:t>
      </w:r>
      <w:r>
        <w:rPr>
          <w:highlight w:val="none"/>
        </w:rPr>
        <w:tab/>
      </w:r>
      <w:r>
        <w:rPr>
          <w:rFonts w:hint="eastAsia"/>
          <w:highlight w:val="none"/>
        </w:rPr>
        <w:t>2</w:t>
      </w:r>
      <w:r>
        <w:rPr>
          <w:rFonts w:hint="eastAsia"/>
          <w:highlight w:val="none"/>
        </w:rPr>
        <w:fldChar w:fldCharType="end"/>
      </w:r>
      <w:r>
        <w:rPr>
          <w:rStyle w:val="24"/>
          <w:rFonts w:hint="eastAsia"/>
          <w:color w:val="auto"/>
          <w:highlight w:val="none"/>
        </w:rPr>
        <w:t>1</w:t>
      </w:r>
    </w:p>
    <w:p>
      <w:pPr>
        <w:pStyle w:val="17"/>
        <w:tabs>
          <w:tab w:val="right" w:leader="dot" w:pos="9060"/>
        </w:tabs>
        <w:rPr>
          <w:rFonts w:hint="eastAsia" w:ascii="等线" w:hAnsi="等线" w:cs="Times New Roman"/>
          <w:b w:val="0"/>
          <w:bCs w:val="0"/>
          <w:caps w:val="0"/>
          <w:kern w:val="2"/>
          <w:sz w:val="21"/>
          <w:szCs w:val="22"/>
          <w:highlight w:val="none"/>
        </w:rPr>
      </w:pPr>
      <w:r>
        <w:rPr>
          <w:highlight w:val="none"/>
        </w:rPr>
        <w:fldChar w:fldCharType="begin"/>
      </w:r>
      <w:r>
        <w:rPr>
          <w:highlight w:val="none"/>
        </w:rPr>
        <w:instrText xml:space="preserve"> HYPERLINK \l "_Toc58490828" </w:instrText>
      </w:r>
      <w:r>
        <w:rPr>
          <w:highlight w:val="none"/>
        </w:rPr>
        <w:fldChar w:fldCharType="separate"/>
      </w:r>
      <w:r>
        <w:rPr>
          <w:rStyle w:val="24"/>
          <w:color w:val="auto"/>
          <w:highlight w:val="none"/>
        </w:rPr>
        <w:t>第六章  项目说明及技术文件</w:t>
      </w:r>
      <w:r>
        <w:rPr>
          <w:highlight w:val="none"/>
        </w:rPr>
        <w:tab/>
      </w:r>
      <w:r>
        <w:rPr>
          <w:rFonts w:hint="eastAsia"/>
          <w:highlight w:val="none"/>
        </w:rPr>
        <w:t>6</w:t>
      </w:r>
      <w:r>
        <w:rPr>
          <w:rFonts w:hint="eastAsia"/>
          <w:highlight w:val="none"/>
        </w:rPr>
        <w:fldChar w:fldCharType="end"/>
      </w:r>
      <w:r>
        <w:rPr>
          <w:rStyle w:val="24"/>
          <w:rFonts w:hint="eastAsia"/>
          <w:color w:val="auto"/>
          <w:highlight w:val="none"/>
        </w:rPr>
        <w:t>7</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jc w:val="center"/>
        <w:rPr>
          <w:rFonts w:ascii="Times New Roman" w:hAnsi="Times New Roman"/>
          <w:szCs w:val="24"/>
          <w:highlight w:val="none"/>
        </w:rPr>
        <w:sectPr>
          <w:footerReference r:id="rId6" w:type="default"/>
          <w:pgSz w:w="11906" w:h="16838"/>
          <w:pgMar w:top="1418" w:right="1418" w:bottom="1418" w:left="1418" w:header="851" w:footer="964" w:gutter="0"/>
          <w:pgNumType w:fmt="upperRoman" w:start="1"/>
          <w:cols w:space="720" w:num="1"/>
          <w:docGrid w:type="lines" w:linePitch="326" w:charSpace="0"/>
        </w:sectPr>
      </w:pPr>
      <w:r>
        <w:rPr>
          <w:rFonts w:eastAsia="仿宋" w:cs="Times New Roman"/>
          <w:sz w:val="24"/>
          <w:szCs w:val="24"/>
          <w:highlight w:val="none"/>
        </w:rPr>
        <w:fldChar w:fldCharType="end"/>
      </w:r>
    </w:p>
    <w:p>
      <w:pPr>
        <w:pStyle w:val="4"/>
        <w:numPr>
          <w:ilvl w:val="0"/>
          <w:numId w:val="2"/>
        </w:numPr>
        <w:rPr>
          <w:rFonts w:hint="eastAsia"/>
          <w:highlight w:val="none"/>
        </w:rPr>
      </w:pPr>
      <w:bookmarkStart w:id="5" w:name="第一章"/>
      <w:bookmarkEnd w:id="5"/>
      <w:bookmarkStart w:id="6" w:name="_Toc58490760"/>
      <w:bookmarkStart w:id="7" w:name="_Hlk53759854"/>
      <w:r>
        <w:rPr>
          <w:rFonts w:hint="eastAsia"/>
          <w:highlight w:val="none"/>
        </w:rPr>
        <w:t>谈判采购公告</w:t>
      </w:r>
      <w:bookmarkEnd w:id="6"/>
    </w:p>
    <w:p>
      <w:pPr>
        <w:pStyle w:val="5"/>
        <w:rPr>
          <w:rFonts w:hint="eastAsia"/>
          <w:highlight w:val="none"/>
        </w:rPr>
      </w:pPr>
      <w:bookmarkStart w:id="8" w:name="_Toc58490761"/>
      <w:r>
        <w:rPr>
          <w:rFonts w:hint="eastAsia"/>
          <w:highlight w:val="none"/>
        </w:rPr>
        <w:t>1、采购项目</w:t>
      </w:r>
      <w:bookmarkEnd w:id="8"/>
    </w:p>
    <w:p>
      <w:pPr>
        <w:spacing w:line="360" w:lineRule="auto"/>
        <w:ind w:firstLine="480" w:firstLineChars="200"/>
        <w:jc w:val="left"/>
        <w:rPr>
          <w:rFonts w:hint="eastAsia" w:ascii="仿宋" w:hAnsi="仿宋" w:eastAsia="仿宋" w:cs="仿宋"/>
          <w:sz w:val="24"/>
          <w:szCs w:val="24"/>
          <w:highlight w:val="none"/>
        </w:rPr>
      </w:pPr>
      <w:bookmarkStart w:id="9" w:name="_Toc58490762"/>
      <w:r>
        <w:rPr>
          <w:rFonts w:hint="eastAsia" w:ascii="仿宋" w:hAnsi="仿宋" w:eastAsia="仿宋" w:cs="仿宋"/>
          <w:kern w:val="0"/>
          <w:sz w:val="24"/>
          <w:szCs w:val="24"/>
          <w:highlight w:val="none"/>
        </w:rPr>
        <w:t>中国水利水电第十二工程局有限公司</w:t>
      </w:r>
      <w:r>
        <w:rPr>
          <w:rFonts w:hint="eastAsia" w:ascii="仿宋" w:hAnsi="仿宋" w:eastAsia="仿宋" w:cs="仿宋"/>
          <w:sz w:val="24"/>
          <w:szCs w:val="24"/>
          <w:highlight w:val="none"/>
        </w:rPr>
        <w:t>浙江中水数建科技有限公司（以下简称“采购人”）以谈判方式采购</w:t>
      </w:r>
      <w:r>
        <w:rPr>
          <w:rFonts w:hint="eastAsia" w:ascii="仿宋" w:hAnsi="仿宋" w:eastAsia="仿宋" w:cs="仿宋"/>
          <w:kern w:val="0"/>
          <w:sz w:val="24"/>
          <w:highlight w:val="none"/>
        </w:rPr>
        <w:t>无人机控制平台开发服务</w:t>
      </w:r>
      <w:r>
        <w:rPr>
          <w:rFonts w:hint="eastAsia" w:ascii="仿宋" w:hAnsi="仿宋" w:eastAsia="仿宋" w:cs="仿宋"/>
          <w:sz w:val="24"/>
          <w:szCs w:val="24"/>
          <w:highlight w:val="none"/>
        </w:rPr>
        <w:t>。</w:t>
      </w:r>
    </w:p>
    <w:p>
      <w:pPr>
        <w:pStyle w:val="5"/>
        <w:rPr>
          <w:rFonts w:hint="eastAsia"/>
          <w:highlight w:val="none"/>
        </w:rPr>
      </w:pPr>
      <w:r>
        <w:rPr>
          <w:rFonts w:hint="eastAsia"/>
          <w:highlight w:val="none"/>
        </w:rPr>
        <w:t>2</w:t>
      </w:r>
      <w:r>
        <w:rPr>
          <w:highlight w:val="none"/>
        </w:rPr>
        <w:t>、</w:t>
      </w:r>
      <w:r>
        <w:rPr>
          <w:rFonts w:hint="eastAsia"/>
          <w:highlight w:val="none"/>
        </w:rPr>
        <w:t>项目</w:t>
      </w:r>
      <w:r>
        <w:rPr>
          <w:highlight w:val="none"/>
        </w:rPr>
        <w:t>概况与采购范围</w:t>
      </w:r>
      <w:bookmarkEnd w:id="9"/>
    </w:p>
    <w:p>
      <w:pPr>
        <w:spacing w:line="440" w:lineRule="exact"/>
        <w:ind w:firstLine="480" w:firstLineChars="200"/>
        <w:rPr>
          <w:rFonts w:hint="eastAsia" w:ascii="仿宋" w:hAnsi="仿宋" w:eastAsia="仿宋"/>
          <w:bCs/>
          <w:sz w:val="24"/>
          <w:highlight w:val="none"/>
        </w:rPr>
      </w:pPr>
      <w:r>
        <w:rPr>
          <w:rFonts w:ascii="仿宋" w:hAnsi="仿宋" w:eastAsia="仿宋"/>
          <w:bCs/>
          <w:sz w:val="24"/>
          <w:highlight w:val="none"/>
        </w:rPr>
        <w:t>（1）</w:t>
      </w:r>
      <w:r>
        <w:rPr>
          <w:rFonts w:hint="eastAsia" w:ascii="仿宋" w:hAnsi="仿宋" w:eastAsia="仿宋"/>
          <w:bCs/>
          <w:sz w:val="24"/>
          <w:highlight w:val="none"/>
        </w:rPr>
        <w:t>项目</w:t>
      </w:r>
      <w:r>
        <w:rPr>
          <w:rFonts w:ascii="仿宋" w:hAnsi="仿宋" w:eastAsia="仿宋"/>
          <w:bCs/>
          <w:sz w:val="24"/>
          <w:highlight w:val="none"/>
        </w:rPr>
        <w:t>名称：</w:t>
      </w:r>
      <w:r>
        <w:rPr>
          <w:rFonts w:hint="eastAsia" w:ascii="仿宋" w:hAnsi="仿宋" w:eastAsia="仿宋" w:cs="仿宋"/>
          <w:kern w:val="0"/>
          <w:sz w:val="24"/>
          <w:highlight w:val="none"/>
        </w:rPr>
        <w:t>无人机控制平台开发服务</w:t>
      </w:r>
      <w:r>
        <w:rPr>
          <w:rFonts w:hint="eastAsia" w:ascii="仿宋" w:hAnsi="仿宋" w:eastAsia="仿宋" w:cs="仿宋"/>
          <w:sz w:val="24"/>
          <w:szCs w:val="24"/>
          <w:highlight w:val="none"/>
        </w:rPr>
        <w:t>。</w:t>
      </w:r>
    </w:p>
    <w:p>
      <w:pPr>
        <w:spacing w:line="440" w:lineRule="exact"/>
        <w:ind w:firstLine="480" w:firstLineChars="200"/>
        <w:rPr>
          <w:rFonts w:hint="eastAsia" w:ascii="仿宋" w:hAnsi="仿宋" w:eastAsia="仿宋"/>
          <w:bCs/>
          <w:sz w:val="24"/>
          <w:highlight w:val="none"/>
        </w:rPr>
      </w:pPr>
      <w:r>
        <w:rPr>
          <w:rFonts w:ascii="仿宋" w:hAnsi="仿宋" w:eastAsia="仿宋"/>
          <w:bCs/>
          <w:sz w:val="24"/>
          <w:highlight w:val="none"/>
        </w:rPr>
        <w:t>（2）</w:t>
      </w:r>
      <w:r>
        <w:rPr>
          <w:rFonts w:hint="eastAsia" w:ascii="仿宋" w:hAnsi="仿宋" w:eastAsia="仿宋"/>
          <w:bCs/>
          <w:sz w:val="24"/>
          <w:highlight w:val="none"/>
        </w:rPr>
        <w:t>项目概况</w:t>
      </w:r>
      <w:r>
        <w:rPr>
          <w:rFonts w:ascii="仿宋" w:hAnsi="仿宋" w:eastAsia="仿宋"/>
          <w:bCs/>
          <w:sz w:val="24"/>
          <w:highlight w:val="none"/>
        </w:rPr>
        <w:t>：</w:t>
      </w:r>
      <w:r>
        <w:rPr>
          <w:rFonts w:hint="eastAsia" w:ascii="仿宋" w:hAnsi="仿宋" w:eastAsia="仿宋" w:cs="仿宋"/>
          <w:sz w:val="24"/>
          <w:szCs w:val="24"/>
          <w:highlight w:val="none"/>
        </w:rPr>
        <w:t>本次采购为</w:t>
      </w:r>
      <w:r>
        <w:rPr>
          <w:rFonts w:hint="eastAsia" w:ascii="仿宋" w:hAnsi="仿宋" w:eastAsia="仿宋" w:cs="仿宋"/>
          <w:kern w:val="0"/>
          <w:sz w:val="24"/>
          <w:highlight w:val="none"/>
        </w:rPr>
        <w:t>无人机控制平台开发项目所需的</w:t>
      </w:r>
      <w:r>
        <w:rPr>
          <w:rFonts w:hint="eastAsia" w:ascii="仿宋" w:hAnsi="仿宋" w:eastAsia="仿宋"/>
          <w:bCs/>
          <w:sz w:val="24"/>
          <w:highlight w:val="none"/>
        </w:rPr>
        <w:t>服务工作</w:t>
      </w:r>
      <w:r>
        <w:rPr>
          <w:rFonts w:hint="eastAsia" w:ascii="仿宋" w:hAnsi="仿宋" w:eastAsia="仿宋" w:cs="仿宋"/>
          <w:sz w:val="24"/>
          <w:szCs w:val="24"/>
          <w:highlight w:val="none"/>
        </w:rPr>
        <w:t>。</w:t>
      </w:r>
    </w:p>
    <w:p>
      <w:pPr>
        <w:spacing w:line="440" w:lineRule="exact"/>
        <w:ind w:firstLine="480" w:firstLineChars="200"/>
        <w:rPr>
          <w:rFonts w:hint="eastAsia" w:ascii="仿宋" w:hAnsi="仿宋" w:eastAsia="仿宋" w:cs="仿宋"/>
          <w:kern w:val="0"/>
          <w:sz w:val="24"/>
          <w:highlight w:val="none"/>
        </w:rPr>
      </w:pPr>
      <w:r>
        <w:rPr>
          <w:rFonts w:hint="eastAsia" w:ascii="仿宋" w:hAnsi="仿宋" w:eastAsia="仿宋"/>
          <w:bCs/>
          <w:sz w:val="24"/>
          <w:highlight w:val="none"/>
        </w:rPr>
        <w:t>（</w:t>
      </w:r>
      <w:r>
        <w:rPr>
          <w:rFonts w:ascii="仿宋" w:hAnsi="仿宋" w:eastAsia="仿宋"/>
          <w:bCs/>
          <w:sz w:val="24"/>
          <w:highlight w:val="none"/>
        </w:rPr>
        <w:t>3</w:t>
      </w:r>
      <w:r>
        <w:rPr>
          <w:rFonts w:hint="eastAsia" w:ascii="仿宋" w:hAnsi="仿宋" w:eastAsia="仿宋"/>
          <w:bCs/>
          <w:sz w:val="24"/>
          <w:highlight w:val="none"/>
        </w:rPr>
        <w:t>）</w:t>
      </w:r>
      <w:r>
        <w:rPr>
          <w:rFonts w:ascii="仿宋" w:hAnsi="仿宋" w:eastAsia="仿宋"/>
          <w:bCs/>
          <w:sz w:val="24"/>
          <w:highlight w:val="none"/>
        </w:rPr>
        <w:t>采购</w:t>
      </w:r>
      <w:r>
        <w:rPr>
          <w:rFonts w:hint="eastAsia" w:ascii="仿宋" w:hAnsi="仿宋" w:eastAsia="仿宋"/>
          <w:bCs/>
          <w:sz w:val="24"/>
          <w:highlight w:val="none"/>
        </w:rPr>
        <w:t>内容</w:t>
      </w:r>
      <w:r>
        <w:rPr>
          <w:rFonts w:ascii="仿宋" w:hAnsi="仿宋" w:eastAsia="仿宋"/>
          <w:bCs/>
          <w:sz w:val="24"/>
          <w:highlight w:val="none"/>
        </w:rPr>
        <w:t>：</w:t>
      </w:r>
      <w:r>
        <w:rPr>
          <w:rFonts w:hint="eastAsia" w:ascii="仿宋" w:hAnsi="仿宋" w:eastAsia="仿宋" w:cs="仿宋"/>
          <w:kern w:val="0"/>
          <w:sz w:val="24"/>
          <w:highlight w:val="none"/>
        </w:rPr>
        <w:t>无人机控制平台开发项目建设工作，建设内容包括：组织管理、区域管理、任务管理、直播管理、航线规划及任务管理、算法库建设等。</w:t>
      </w:r>
    </w:p>
    <w:p>
      <w:pPr>
        <w:spacing w:line="440" w:lineRule="exact"/>
        <w:ind w:firstLine="480" w:firstLineChars="200"/>
        <w:rPr>
          <w:rFonts w:hint="eastAsia" w:ascii="仿宋" w:hAnsi="仿宋" w:eastAsia="仿宋"/>
          <w:bCs/>
          <w:sz w:val="24"/>
          <w:highlight w:val="none"/>
        </w:rPr>
      </w:pPr>
      <w:r>
        <w:rPr>
          <w:rFonts w:hint="eastAsia" w:ascii="仿宋" w:hAnsi="仿宋" w:eastAsia="仿宋"/>
          <w:bCs/>
          <w:sz w:val="24"/>
          <w:highlight w:val="none"/>
        </w:rPr>
        <w:t>（</w:t>
      </w:r>
      <w:r>
        <w:rPr>
          <w:rFonts w:ascii="仿宋" w:hAnsi="仿宋" w:eastAsia="仿宋"/>
          <w:bCs/>
          <w:sz w:val="24"/>
          <w:highlight w:val="none"/>
        </w:rPr>
        <w:t>4</w:t>
      </w:r>
      <w:r>
        <w:rPr>
          <w:rFonts w:hint="eastAsia" w:ascii="仿宋" w:hAnsi="仿宋" w:eastAsia="仿宋"/>
          <w:bCs/>
          <w:sz w:val="24"/>
          <w:highlight w:val="none"/>
        </w:rPr>
        <w:t>）交付期限：</w:t>
      </w:r>
      <w:r>
        <w:rPr>
          <w:rFonts w:hint="eastAsia" w:ascii="仿宋_GB2312" w:hAnsi="仿宋_GB2312" w:eastAsia="仿宋_GB2312" w:cs="仿宋_GB2312"/>
          <w:sz w:val="24"/>
          <w:highlight w:val="none"/>
        </w:rPr>
        <w:t>签订合同后6个月内，或按采购人要求。</w:t>
      </w:r>
    </w:p>
    <w:p>
      <w:pPr>
        <w:spacing w:line="440" w:lineRule="exact"/>
        <w:ind w:firstLine="480" w:firstLineChars="200"/>
        <w:rPr>
          <w:rFonts w:hint="eastAsia" w:ascii="仿宋" w:hAnsi="仿宋" w:eastAsia="仿宋"/>
          <w:bCs/>
          <w:sz w:val="24"/>
          <w:highlight w:val="none"/>
        </w:rPr>
      </w:pPr>
      <w:r>
        <w:rPr>
          <w:rFonts w:hint="eastAsia" w:ascii="仿宋" w:hAnsi="仿宋" w:eastAsia="仿宋"/>
          <w:bCs/>
          <w:sz w:val="24"/>
          <w:highlight w:val="none"/>
        </w:rPr>
        <w:t>（</w:t>
      </w:r>
      <w:r>
        <w:rPr>
          <w:rFonts w:ascii="仿宋" w:hAnsi="仿宋" w:eastAsia="仿宋"/>
          <w:bCs/>
          <w:sz w:val="24"/>
          <w:highlight w:val="none"/>
        </w:rPr>
        <w:t>5）交货地</w:t>
      </w:r>
      <w:r>
        <w:rPr>
          <w:rFonts w:hint="eastAsia" w:ascii="仿宋" w:hAnsi="仿宋" w:eastAsia="仿宋"/>
          <w:bCs/>
          <w:sz w:val="24"/>
          <w:highlight w:val="none"/>
        </w:rPr>
        <w:t>点</w:t>
      </w:r>
      <w:r>
        <w:rPr>
          <w:rFonts w:ascii="仿宋" w:hAnsi="仿宋" w:eastAsia="仿宋"/>
          <w:bCs/>
          <w:sz w:val="24"/>
          <w:highlight w:val="none"/>
        </w:rPr>
        <w:t>：</w:t>
      </w:r>
      <w:r>
        <w:rPr>
          <w:rFonts w:hint="eastAsia" w:ascii="仿宋" w:hAnsi="仿宋" w:eastAsia="仿宋" w:cs="仿宋"/>
          <w:kern w:val="0"/>
          <w:sz w:val="24"/>
          <w:highlight w:val="none"/>
        </w:rPr>
        <w:t>杭州。</w:t>
      </w:r>
    </w:p>
    <w:p>
      <w:pPr>
        <w:spacing w:line="360" w:lineRule="auto"/>
        <w:ind w:firstLine="480" w:firstLineChars="200"/>
        <w:rPr>
          <w:rFonts w:hint="eastAsia" w:ascii="仿宋" w:hAnsi="仿宋" w:eastAsia="仿宋"/>
          <w:bCs/>
          <w:sz w:val="24"/>
          <w:highlight w:val="none"/>
        </w:rPr>
      </w:pPr>
      <w:r>
        <w:rPr>
          <w:rFonts w:hint="eastAsia" w:ascii="仿宋" w:hAnsi="仿宋" w:eastAsia="仿宋"/>
          <w:bCs/>
          <w:sz w:val="24"/>
          <w:highlight w:val="none"/>
        </w:rPr>
        <w:t>（6</w:t>
      </w:r>
      <w:r>
        <w:rPr>
          <w:rFonts w:ascii="仿宋" w:hAnsi="仿宋" w:eastAsia="仿宋"/>
          <w:bCs/>
          <w:sz w:val="24"/>
          <w:highlight w:val="none"/>
        </w:rPr>
        <w:t>）</w:t>
      </w:r>
      <w:r>
        <w:rPr>
          <w:rFonts w:hint="eastAsia" w:ascii="仿宋" w:hAnsi="仿宋" w:eastAsia="仿宋"/>
          <w:bCs/>
          <w:sz w:val="24"/>
          <w:highlight w:val="none"/>
        </w:rPr>
        <w:t>质量</w:t>
      </w:r>
      <w:r>
        <w:rPr>
          <w:rFonts w:ascii="仿宋" w:hAnsi="仿宋" w:eastAsia="仿宋"/>
          <w:bCs/>
          <w:sz w:val="24"/>
          <w:highlight w:val="none"/>
        </w:rPr>
        <w:t>要求：</w:t>
      </w:r>
      <w:r>
        <w:rPr>
          <w:rFonts w:hint="eastAsia" w:ascii="仿宋" w:hAnsi="仿宋" w:eastAsia="仿宋" w:cs="仿宋"/>
          <w:sz w:val="24"/>
          <w:szCs w:val="24"/>
          <w:highlight w:val="none"/>
        </w:rPr>
        <w:t>谈判响应人报价的技术服务条件需优于或等于本次报价文件标注的技术要求。</w:t>
      </w:r>
    </w:p>
    <w:p>
      <w:pPr>
        <w:pStyle w:val="5"/>
        <w:rPr>
          <w:rFonts w:hint="eastAsia"/>
          <w:highlight w:val="none"/>
        </w:rPr>
      </w:pPr>
      <w:bookmarkStart w:id="10" w:name="_Toc58490763"/>
      <w:r>
        <w:rPr>
          <w:rFonts w:hint="eastAsia"/>
          <w:highlight w:val="none"/>
        </w:rPr>
        <w:t>3、响应人资格要求</w:t>
      </w:r>
      <w:bookmarkEnd w:id="10"/>
    </w:p>
    <w:p>
      <w:pPr>
        <w:spacing w:line="360" w:lineRule="auto"/>
        <w:ind w:firstLine="482"/>
        <w:rPr>
          <w:rFonts w:hint="eastAsia" w:ascii="仿宋" w:hAnsi="仿宋" w:eastAsia="仿宋"/>
          <w:sz w:val="24"/>
          <w:highlight w:val="none"/>
        </w:rPr>
      </w:pPr>
      <w:r>
        <w:rPr>
          <w:rFonts w:ascii="仿宋" w:hAnsi="仿宋" w:eastAsia="仿宋"/>
          <w:sz w:val="24"/>
          <w:highlight w:val="none"/>
        </w:rPr>
        <w:t>本次</w:t>
      </w:r>
      <w:r>
        <w:rPr>
          <w:rFonts w:hint="eastAsia" w:ascii="仿宋" w:hAnsi="仿宋" w:eastAsia="仿宋"/>
          <w:sz w:val="24"/>
          <w:highlight w:val="none"/>
        </w:rPr>
        <w:t>竞争性谈判</w:t>
      </w:r>
      <w:r>
        <w:rPr>
          <w:rFonts w:ascii="仿宋" w:hAnsi="仿宋" w:eastAsia="仿宋"/>
          <w:sz w:val="24"/>
          <w:highlight w:val="none"/>
        </w:rPr>
        <w:t>要求</w:t>
      </w:r>
      <w:r>
        <w:rPr>
          <w:rFonts w:hint="eastAsia" w:ascii="仿宋" w:hAnsi="仿宋" w:eastAsia="仿宋"/>
          <w:sz w:val="24"/>
          <w:highlight w:val="none"/>
        </w:rPr>
        <w:t>响应人</w:t>
      </w:r>
      <w:r>
        <w:rPr>
          <w:rFonts w:ascii="仿宋" w:hAnsi="仿宋" w:eastAsia="仿宋"/>
          <w:sz w:val="24"/>
          <w:highlight w:val="none"/>
        </w:rPr>
        <w:t>具备以下条件：</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bookmarkStart w:id="11" w:name="_Toc58490764"/>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人为中华人民共和国境内合法注册的独立法人或其他组织，具有承担民事责任能力，具有订立合同的权利；</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2020年至今承担过无人机平台开发业绩，须提供合同证明材料；（附合同扫描件必须清晰）。</w:t>
      </w:r>
    </w:p>
    <w:p>
      <w:pPr>
        <w:pStyle w:val="14"/>
        <w:numPr>
          <w:ilvl w:val="0"/>
          <w:numId w:val="3"/>
        </w:numPr>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有良好的银行资信和商业信誉，近三年没有发生过被责令停产、停业、财产被接管、冻结、破产状态。无因响应人违约或不恰当履约引起的合同中止、纠纷、争议、仲裁和诉讼记录，没有严重违约及重大质量问题；</w:t>
      </w:r>
    </w:p>
    <w:p>
      <w:pPr>
        <w:pStyle w:val="14"/>
        <w:spacing w:line="360" w:lineRule="auto"/>
        <w:ind w:right="31"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 具有履行合同所必须的专业技术能力；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 不接受联合体报价。</w:t>
      </w:r>
    </w:p>
    <w:p>
      <w:pPr>
        <w:pStyle w:val="5"/>
        <w:rPr>
          <w:rFonts w:hint="eastAsia"/>
          <w:highlight w:val="none"/>
        </w:rPr>
      </w:pPr>
      <w:r>
        <w:rPr>
          <w:rFonts w:hint="eastAsia"/>
          <w:highlight w:val="none"/>
        </w:rPr>
        <w:t>4、竞争性谈判文件的获取</w:t>
      </w:r>
      <w:bookmarkEnd w:id="11"/>
    </w:p>
    <w:p>
      <w:pPr>
        <w:widowControl/>
        <w:wordWrap w:val="0"/>
        <w:spacing w:line="360" w:lineRule="auto"/>
        <w:ind w:firstLine="480" w:firstLineChars="200"/>
        <w:rPr>
          <w:rFonts w:hint="eastAsia" w:ascii="仿宋" w:hAnsi="仿宋" w:eastAsia="仿宋" w:cs="仿宋"/>
          <w:b/>
          <w:bCs/>
          <w:sz w:val="24"/>
          <w:szCs w:val="24"/>
          <w:highlight w:val="none"/>
        </w:rPr>
      </w:pPr>
      <w:bookmarkStart w:id="12" w:name="_Toc58490765"/>
      <w:r>
        <w:rPr>
          <w:rFonts w:hint="eastAsia" w:ascii="仿宋" w:hAnsi="仿宋" w:eastAsia="仿宋" w:cs="仿宋"/>
          <w:kern w:val="0"/>
          <w:sz w:val="24"/>
          <w:szCs w:val="24"/>
          <w:highlight w:val="none"/>
        </w:rPr>
        <w:t xml:space="preserve">凡满足本次规定的响应人资格要求并有意参加报价者，请在本采购公告期间（2025年 </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 xml:space="preserve">月 </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 xml:space="preserve">日 </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 xml:space="preserve">:00至2025年 </w:t>
      </w: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 xml:space="preserve">月 </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 xml:space="preserve"> 日 </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:00）将相应企业资质资格文件（第一条报价人资格要求的相应文件）发送至采购人预留指定邮箱</w:t>
      </w:r>
      <w:bookmarkStart w:id="13" w:name="OLE_LINK6"/>
      <w:r>
        <w:rPr>
          <w:rFonts w:hint="eastAsia" w:ascii="仿宋" w:hAnsi="仿宋" w:eastAsia="仿宋" w:cs="仿宋"/>
          <w:kern w:val="0"/>
          <w:highlight w:val="none"/>
        </w:rPr>
        <w:t>miaorongrong-sd12@powerchina.cn</w:t>
      </w:r>
      <w:bookmarkEnd w:id="13"/>
      <w:r>
        <w:rPr>
          <w:rFonts w:hint="eastAsia" w:ascii="仿宋" w:hAnsi="仿宋" w:eastAsia="仿宋" w:cs="仿宋"/>
          <w:kern w:val="0"/>
          <w:sz w:val="24"/>
          <w:szCs w:val="24"/>
          <w:highlight w:val="none"/>
        </w:rPr>
        <w:t>获取采购文件，并按采购文件要求参与本次采购活动，采购人以邮件的形式提供电子版的采购文件给符合资质要求的单位。</w:t>
      </w:r>
    </w:p>
    <w:p>
      <w:pPr>
        <w:pStyle w:val="5"/>
        <w:rPr>
          <w:rFonts w:hint="eastAsia"/>
          <w:highlight w:val="none"/>
        </w:rPr>
      </w:pPr>
      <w:r>
        <w:rPr>
          <w:rFonts w:hint="eastAsia"/>
          <w:highlight w:val="none"/>
        </w:rPr>
        <w:t>5、竞争性谈判响应文件的递交</w:t>
      </w:r>
      <w:bookmarkEnd w:id="12"/>
      <w:r>
        <w:rPr>
          <w:rFonts w:hint="eastAsia"/>
          <w:highlight w:val="none"/>
        </w:rPr>
        <w:t xml:space="preserve"> </w:t>
      </w:r>
    </w:p>
    <w:p>
      <w:pPr>
        <w:spacing w:line="360" w:lineRule="auto"/>
        <w:ind w:firstLine="480" w:firstLineChars="200"/>
        <w:rPr>
          <w:rFonts w:hint="eastAsia" w:ascii="仿宋" w:hAnsi="仿宋" w:eastAsia="仿宋" w:cs="仿宋"/>
          <w:sz w:val="24"/>
          <w:szCs w:val="24"/>
          <w:highlight w:val="none"/>
        </w:rPr>
      </w:pPr>
      <w:bookmarkStart w:id="14" w:name="_Toc58490766"/>
      <w:r>
        <w:rPr>
          <w:rFonts w:hint="eastAsia" w:ascii="仿宋" w:hAnsi="仿宋" w:eastAsia="仿宋" w:cs="仿宋"/>
          <w:kern w:val="0"/>
          <w:sz w:val="24"/>
          <w:szCs w:val="24"/>
          <w:highlight w:val="none"/>
        </w:rPr>
        <w:t xml:space="preserve">签字盖章版的报价文件（PDF格式）请于2025 年 </w:t>
      </w:r>
      <w:r>
        <w:rPr>
          <w:rFonts w:hint="eastAsia" w:ascii="仿宋" w:hAnsi="仿宋" w:eastAsia="仿宋" w:cs="仿宋"/>
          <w:kern w:val="0"/>
          <w:sz w:val="24"/>
          <w:szCs w:val="24"/>
          <w:highlight w:val="none"/>
          <w:lang w:val="en-US" w:eastAsia="zh-CN"/>
        </w:rPr>
        <w:t>12</w:t>
      </w:r>
      <w:bookmarkStart w:id="224" w:name="_GoBack"/>
      <w:bookmarkEnd w:id="224"/>
      <w:r>
        <w:rPr>
          <w:rFonts w:hint="eastAsia" w:ascii="仿宋" w:hAnsi="仿宋" w:eastAsia="仿宋" w:cs="仿宋"/>
          <w:kern w:val="0"/>
          <w:sz w:val="24"/>
          <w:szCs w:val="24"/>
          <w:highlight w:val="none"/>
        </w:rPr>
        <w:t xml:space="preserve"> 月  </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 xml:space="preserve">日 </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 xml:space="preserve"> 时前发送至采购人邮箱，邮箱地址</w:t>
      </w:r>
      <w:r>
        <w:rPr>
          <w:rFonts w:hint="eastAsia" w:ascii="仿宋" w:hAnsi="仿宋" w:eastAsia="仿宋" w:cs="仿宋"/>
          <w:kern w:val="0"/>
          <w:highlight w:val="none"/>
        </w:rPr>
        <w:t>miaorongrong-sd12@powerchina.cn</w:t>
      </w:r>
      <w:r>
        <w:rPr>
          <w:rFonts w:hint="eastAsia" w:ascii="仿宋" w:hAnsi="仿宋" w:eastAsia="仿宋" w:cs="仿宋"/>
          <w:kern w:val="0"/>
          <w:sz w:val="24"/>
          <w:szCs w:val="24"/>
          <w:highlight w:val="none"/>
        </w:rPr>
        <w:t>。逾期送达的或者未送达邮箱的报价文件，采购人不予受理</w:t>
      </w:r>
      <w:r>
        <w:rPr>
          <w:rFonts w:hint="eastAsia" w:ascii="仿宋" w:hAnsi="仿宋" w:eastAsia="仿宋" w:cs="仿宋"/>
          <w:sz w:val="24"/>
          <w:szCs w:val="24"/>
          <w:highlight w:val="none"/>
        </w:rPr>
        <w:t>。</w:t>
      </w:r>
    </w:p>
    <w:p>
      <w:pPr>
        <w:pStyle w:val="5"/>
        <w:rPr>
          <w:rFonts w:hint="eastAsia"/>
          <w:highlight w:val="none"/>
        </w:rPr>
      </w:pPr>
      <w:r>
        <w:rPr>
          <w:rFonts w:hint="eastAsia"/>
          <w:highlight w:val="none"/>
        </w:rPr>
        <w:t>6、</w:t>
      </w:r>
      <w:r>
        <w:rPr>
          <w:highlight w:val="none"/>
        </w:rPr>
        <w:t>联系方式</w:t>
      </w:r>
      <w:bookmarkEnd w:id="14"/>
    </w:p>
    <w:p>
      <w:pPr>
        <w:spacing w:line="360" w:lineRule="auto"/>
        <w:ind w:firstLine="480" w:firstLineChars="200"/>
        <w:rPr>
          <w:rFonts w:hint="eastAsia" w:ascii="仿宋" w:hAnsi="仿宋" w:eastAsia="仿宋" w:cs="仿宋"/>
          <w:sz w:val="24"/>
          <w:szCs w:val="24"/>
          <w:highlight w:val="none"/>
        </w:rPr>
      </w:pPr>
      <w:bookmarkStart w:id="15" w:name="_Toc58490767"/>
      <w:r>
        <w:rPr>
          <w:rFonts w:hint="eastAsia" w:ascii="仿宋" w:hAnsi="仿宋" w:eastAsia="仿宋" w:cs="仿宋"/>
          <w:sz w:val="24"/>
          <w:szCs w:val="24"/>
          <w:highlight w:val="none"/>
        </w:rPr>
        <w:t>采 购 人：中国水利水电第十二工程局有限公司</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址：浙江省杭州市西湖区灯彩街321号水电十二局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 系 人：缪绒绒</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    话：15755503991</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电子邮箱：miaorongrong-sd12@powerchina.cn</w:t>
      </w:r>
    </w:p>
    <w:bookmarkEnd w:id="15"/>
    <w:p>
      <w:pPr>
        <w:pStyle w:val="5"/>
        <w:rPr>
          <w:rFonts w:hint="eastAsia"/>
          <w:highlight w:val="none"/>
        </w:rPr>
      </w:pPr>
      <w:bookmarkStart w:id="16" w:name="_Toc58490768"/>
      <w:r>
        <w:rPr>
          <w:rFonts w:hint="eastAsia"/>
          <w:highlight w:val="none"/>
        </w:rPr>
        <w:t>7、纪检监督机构</w:t>
      </w:r>
      <w:bookmarkEnd w:id="1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监督机构：中国水利水电第十二工程局有限公司纪委办公室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监督电话：0571-86829047</w:t>
      </w:r>
    </w:p>
    <w:p>
      <w:pPr>
        <w:spacing w:line="360" w:lineRule="auto"/>
        <w:rPr>
          <w:rFonts w:hint="eastAsia" w:ascii="仿宋" w:hAnsi="仿宋" w:eastAsia="仿宋"/>
          <w:sz w:val="24"/>
          <w:highlight w:val="none"/>
        </w:rPr>
      </w:pPr>
    </w:p>
    <w:p>
      <w:pPr>
        <w:spacing w:line="360" w:lineRule="auto"/>
        <w:ind w:firstLine="6600" w:firstLineChars="2750"/>
        <w:rPr>
          <w:rFonts w:hint="eastAsia" w:ascii="仿宋" w:hAnsi="仿宋" w:eastAsia="仿宋"/>
          <w:sz w:val="24"/>
          <w:highlight w:val="none"/>
        </w:rPr>
      </w:pPr>
      <w:r>
        <w:rPr>
          <w:rFonts w:hint="eastAsia" w:ascii="仿宋" w:hAnsi="仿宋" w:eastAsia="仿宋"/>
          <w:sz w:val="24"/>
          <w:highlight w:val="none"/>
        </w:rPr>
        <w:t xml:space="preserve"> 2025年 </w:t>
      </w:r>
      <w:r>
        <w:rPr>
          <w:rFonts w:hint="eastAsia" w:ascii="仿宋" w:hAnsi="仿宋" w:eastAsia="仿宋"/>
          <w:sz w:val="24"/>
          <w:highlight w:val="none"/>
          <w:lang w:val="en-US" w:eastAsia="zh-CN"/>
        </w:rPr>
        <w:t>12</w:t>
      </w:r>
      <w:r>
        <w:rPr>
          <w:rFonts w:hint="eastAsia" w:ascii="仿宋" w:hAnsi="仿宋" w:eastAsia="仿宋"/>
          <w:sz w:val="24"/>
          <w:highlight w:val="none"/>
        </w:rPr>
        <w:t xml:space="preserve">月 </w:t>
      </w:r>
      <w:r>
        <w:rPr>
          <w:rFonts w:hint="eastAsia" w:ascii="仿宋" w:hAnsi="仿宋" w:eastAsia="仿宋"/>
          <w:sz w:val="24"/>
          <w:highlight w:val="none"/>
          <w:lang w:val="en-US" w:eastAsia="zh-CN"/>
        </w:rPr>
        <w:t>3</w:t>
      </w:r>
      <w:r>
        <w:rPr>
          <w:rFonts w:hint="eastAsia" w:ascii="仿宋" w:hAnsi="仿宋" w:eastAsia="仿宋"/>
          <w:sz w:val="24"/>
          <w:highlight w:val="none"/>
        </w:rPr>
        <w:t xml:space="preserve"> 日</w:t>
      </w:r>
    </w:p>
    <w:p>
      <w:pPr>
        <w:pStyle w:val="4"/>
        <w:rPr>
          <w:rFonts w:hint="eastAsia"/>
          <w:highlight w:val="none"/>
        </w:rPr>
      </w:pPr>
      <w:r>
        <w:rPr>
          <w:highlight w:val="none"/>
        </w:rPr>
        <w:br w:type="page"/>
      </w:r>
      <w:bookmarkEnd w:id="7"/>
      <w:bookmarkStart w:id="17" w:name="第二章"/>
      <w:bookmarkEnd w:id="17"/>
      <w:bookmarkStart w:id="18" w:name="_Toc58490778"/>
      <w:bookmarkStart w:id="19" w:name="_Toc15244"/>
      <w:bookmarkStart w:id="20" w:name="_Toc426312933"/>
      <w:bookmarkStart w:id="21" w:name="_Toc27330"/>
      <w:bookmarkStart w:id="22" w:name="_Toc289856476"/>
      <w:bookmarkStart w:id="23" w:name="_Toc426313037"/>
      <w:bookmarkStart w:id="24" w:name="_Toc391543278"/>
      <w:bookmarkStart w:id="25" w:name="_Toc434479600"/>
      <w:r>
        <w:rPr>
          <w:rFonts w:hint="eastAsia"/>
          <w:highlight w:val="none"/>
        </w:rPr>
        <w:t>第二章  谈判</w:t>
      </w:r>
      <w:r>
        <w:rPr>
          <w:highlight w:val="none"/>
        </w:rPr>
        <w:t>响应人</w:t>
      </w:r>
      <w:r>
        <w:rPr>
          <w:rFonts w:hint="eastAsia"/>
          <w:highlight w:val="none"/>
        </w:rPr>
        <w:t>须知</w:t>
      </w:r>
      <w:bookmarkEnd w:id="18"/>
    </w:p>
    <w:p>
      <w:pPr>
        <w:spacing w:after="312" w:afterLines="100" w:line="320" w:lineRule="exact"/>
        <w:jc w:val="center"/>
        <w:rPr>
          <w:rFonts w:hint="eastAsia" w:ascii="仿宋" w:hAnsi="仿宋" w:eastAsia="仿宋"/>
          <w:b/>
          <w:sz w:val="28"/>
          <w:szCs w:val="24"/>
          <w:highlight w:val="none"/>
        </w:rPr>
      </w:pPr>
      <w:bookmarkStart w:id="26" w:name="_Toc449101783"/>
      <w:bookmarkStart w:id="27" w:name="投标人须知前附表"/>
      <w:r>
        <w:rPr>
          <w:rFonts w:ascii="仿宋" w:hAnsi="仿宋" w:eastAsia="仿宋"/>
          <w:b/>
          <w:sz w:val="28"/>
          <w:szCs w:val="24"/>
          <w:highlight w:val="none"/>
        </w:rPr>
        <w:t>谈判响应</w:t>
      </w:r>
      <w:r>
        <w:rPr>
          <w:rFonts w:hint="eastAsia" w:ascii="仿宋" w:hAnsi="仿宋" w:eastAsia="仿宋"/>
          <w:b/>
          <w:sz w:val="28"/>
          <w:szCs w:val="24"/>
          <w:highlight w:val="none"/>
        </w:rPr>
        <w:t>人须知前附表</w:t>
      </w:r>
      <w:bookmarkEnd w:id="19"/>
      <w:bookmarkEnd w:id="20"/>
      <w:bookmarkEnd w:id="21"/>
      <w:bookmarkEnd w:id="22"/>
      <w:bookmarkEnd w:id="23"/>
      <w:bookmarkEnd w:id="24"/>
      <w:bookmarkEnd w:id="25"/>
      <w:bookmarkEnd w:id="26"/>
    </w:p>
    <w:bookmarkEnd w:id="27"/>
    <w:tbl>
      <w:tblPr>
        <w:tblStyle w:val="20"/>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382"/>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条款号</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条  款  名  称</w:t>
            </w:r>
          </w:p>
        </w:tc>
        <w:tc>
          <w:tcPr>
            <w:tcW w:w="6257"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1</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lang w:val="zh-CN"/>
              </w:rPr>
              <w:t>响应人提出澄清截止时间</w:t>
            </w:r>
          </w:p>
        </w:tc>
        <w:tc>
          <w:tcPr>
            <w:tcW w:w="6257" w:type="dxa"/>
            <w:vAlign w:val="center"/>
          </w:tcPr>
          <w:p>
            <w:pPr>
              <w:spacing w:line="320" w:lineRule="exact"/>
              <w:rPr>
                <w:rFonts w:hint="eastAsia" w:ascii="仿宋" w:hAnsi="仿宋" w:eastAsia="仿宋"/>
                <w:sz w:val="24"/>
                <w:szCs w:val="24"/>
                <w:highlight w:val="none"/>
              </w:rPr>
            </w:pPr>
            <w:r>
              <w:rPr>
                <w:rFonts w:ascii="仿宋" w:hAnsi="仿宋" w:eastAsia="仿宋"/>
                <w:sz w:val="24"/>
                <w:szCs w:val="24"/>
                <w:highlight w:val="none"/>
                <w:u w:val="single"/>
                <w:lang w:val="zh-CN"/>
              </w:rPr>
              <w:t>20</w:t>
            </w:r>
            <w:r>
              <w:rPr>
                <w:rFonts w:hint="eastAsia" w:ascii="仿宋" w:hAnsi="仿宋" w:eastAsia="仿宋"/>
                <w:sz w:val="24"/>
                <w:szCs w:val="24"/>
                <w:highlight w:val="none"/>
                <w:u w:val="single"/>
              </w:rPr>
              <w:t>25</w:t>
            </w:r>
            <w:r>
              <w:rPr>
                <w:rFonts w:hint="eastAsia"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12</w:t>
            </w:r>
            <w:r>
              <w:rPr>
                <w:rFonts w:ascii="仿宋" w:hAnsi="仿宋" w:eastAsia="仿宋"/>
                <w:sz w:val="24"/>
                <w:szCs w:val="24"/>
                <w:highlight w:val="none"/>
                <w:u w:val="single"/>
              </w:rPr>
              <w:t xml:space="preserve"> </w:t>
            </w:r>
            <w:r>
              <w:rPr>
                <w:rFonts w:hint="eastAsia" w:ascii="仿宋" w:hAnsi="仿宋" w:eastAsia="仿宋"/>
                <w:sz w:val="24"/>
                <w:szCs w:val="24"/>
                <w:highlight w:val="none"/>
                <w:lang w:val="zh-CN"/>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9</w:t>
            </w:r>
            <w:r>
              <w:rPr>
                <w:rFonts w:hint="eastAsia" w:ascii="仿宋" w:hAnsi="仿宋" w:eastAsia="仿宋"/>
                <w:sz w:val="24"/>
                <w:szCs w:val="24"/>
                <w:highlight w:val="none"/>
                <w:u w:val="single"/>
              </w:rPr>
              <w:t xml:space="preserve">  </w:t>
            </w:r>
            <w:r>
              <w:rPr>
                <w:rFonts w:ascii="仿宋" w:hAnsi="仿宋" w:eastAsia="仿宋"/>
                <w:sz w:val="24"/>
                <w:szCs w:val="24"/>
                <w:highlight w:val="none"/>
                <w:u w:val="single"/>
              </w:rPr>
              <w:t xml:space="preserve"> </w:t>
            </w:r>
            <w:r>
              <w:rPr>
                <w:rFonts w:hint="eastAsia" w:ascii="仿宋" w:hAnsi="仿宋" w:eastAsia="仿宋"/>
                <w:sz w:val="24"/>
                <w:szCs w:val="24"/>
                <w:highlight w:val="none"/>
                <w:lang w:val="zh-CN"/>
              </w:rPr>
              <w:t>日</w:t>
            </w:r>
            <w:r>
              <w:rPr>
                <w:rFonts w:ascii="仿宋" w:hAnsi="仿宋" w:eastAsia="仿宋"/>
                <w:sz w:val="24"/>
                <w:szCs w:val="24"/>
                <w:highlight w:val="none"/>
                <w:u w:val="single"/>
              </w:rPr>
              <w:t>1</w:t>
            </w:r>
            <w:r>
              <w:rPr>
                <w:rFonts w:hint="eastAsia" w:ascii="仿宋" w:hAnsi="仿宋" w:eastAsia="仿宋"/>
                <w:sz w:val="24"/>
                <w:szCs w:val="24"/>
                <w:highlight w:val="none"/>
                <w:u w:val="single"/>
              </w:rPr>
              <w:t>6</w:t>
            </w:r>
            <w:r>
              <w:rPr>
                <w:rFonts w:hint="eastAsia" w:ascii="仿宋" w:hAnsi="仿宋" w:eastAsia="仿宋"/>
                <w:sz w:val="24"/>
                <w:szCs w:val="24"/>
                <w:highlight w:val="none"/>
                <w:lang w:val="zh-CN"/>
              </w:rPr>
              <w:t>时</w:t>
            </w:r>
            <w:r>
              <w:rPr>
                <w:rFonts w:hint="eastAsia" w:ascii="仿宋" w:hAnsi="仿宋" w:eastAsia="仿宋"/>
                <w:sz w:val="24"/>
                <w:szCs w:val="24"/>
                <w:highlight w:val="none"/>
                <w:u w:val="single"/>
                <w:lang w:val="zh-CN"/>
              </w:rPr>
              <w:t>00</w:t>
            </w:r>
            <w:r>
              <w:rPr>
                <w:rFonts w:hint="eastAsia" w:ascii="仿宋" w:hAnsi="仿宋" w:eastAsia="仿宋"/>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2</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lang w:val="zh-CN"/>
              </w:rPr>
              <w:t>谈判文件修改截止时间</w:t>
            </w:r>
          </w:p>
        </w:tc>
        <w:tc>
          <w:tcPr>
            <w:tcW w:w="6257" w:type="dxa"/>
            <w:vAlign w:val="center"/>
          </w:tcPr>
          <w:p>
            <w:pPr>
              <w:spacing w:line="320" w:lineRule="exact"/>
              <w:rPr>
                <w:rFonts w:hint="eastAsia" w:ascii="仿宋" w:hAnsi="仿宋" w:eastAsia="仿宋"/>
                <w:sz w:val="24"/>
                <w:szCs w:val="24"/>
                <w:highlight w:val="none"/>
              </w:rPr>
            </w:pPr>
            <w:r>
              <w:rPr>
                <w:rFonts w:ascii="仿宋" w:hAnsi="仿宋" w:eastAsia="仿宋"/>
                <w:sz w:val="24"/>
                <w:szCs w:val="24"/>
                <w:highlight w:val="none"/>
                <w:u w:val="single"/>
                <w:lang w:val="zh-CN"/>
              </w:rPr>
              <w:t>20</w:t>
            </w:r>
            <w:r>
              <w:rPr>
                <w:rFonts w:hint="eastAsia" w:ascii="仿宋" w:hAnsi="仿宋" w:eastAsia="仿宋"/>
                <w:sz w:val="24"/>
                <w:szCs w:val="24"/>
                <w:highlight w:val="none"/>
                <w:u w:val="single"/>
              </w:rPr>
              <w:t>25</w:t>
            </w:r>
            <w:r>
              <w:rPr>
                <w:rFonts w:hint="eastAsia" w:ascii="仿宋" w:hAnsi="仿宋" w:eastAsia="仿宋"/>
                <w:sz w:val="24"/>
                <w:szCs w:val="24"/>
                <w:highlight w:val="none"/>
                <w:u w:val="single"/>
                <w:lang w:val="zh-CN"/>
              </w:rPr>
              <w:t xml:space="preserve"> </w:t>
            </w:r>
            <w:r>
              <w:rPr>
                <w:rFonts w:hint="eastAsia" w:ascii="仿宋" w:hAnsi="仿宋" w:eastAsia="仿宋" w:cs="宋体"/>
                <w:sz w:val="24"/>
                <w:szCs w:val="24"/>
                <w:highlight w:val="none"/>
                <w:lang w:val="zh-CN"/>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12</w:t>
            </w:r>
            <w:r>
              <w:rPr>
                <w:rFonts w:hint="eastAsia" w:ascii="仿宋" w:hAnsi="仿宋" w:eastAsia="仿宋"/>
                <w:sz w:val="24"/>
                <w:szCs w:val="24"/>
                <w:highlight w:val="none"/>
                <w:u w:val="single"/>
              </w:rPr>
              <w:t xml:space="preserve"> </w:t>
            </w:r>
            <w:r>
              <w:rPr>
                <w:rFonts w:hint="eastAsia" w:ascii="仿宋" w:hAnsi="仿宋" w:eastAsia="仿宋" w:cs="宋体"/>
                <w:sz w:val="24"/>
                <w:szCs w:val="24"/>
                <w:highlight w:val="none"/>
                <w:lang w:val="zh-CN"/>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10</w:t>
            </w:r>
            <w:r>
              <w:rPr>
                <w:rFonts w:ascii="仿宋" w:hAnsi="仿宋" w:eastAsia="仿宋"/>
                <w:sz w:val="24"/>
                <w:szCs w:val="24"/>
                <w:highlight w:val="none"/>
                <w:u w:val="single"/>
              </w:rPr>
              <w:t xml:space="preserve"> </w:t>
            </w:r>
            <w:r>
              <w:rPr>
                <w:rFonts w:hint="eastAsia" w:ascii="仿宋" w:hAnsi="仿宋" w:eastAsia="仿宋" w:cs="宋体"/>
                <w:sz w:val="24"/>
                <w:szCs w:val="24"/>
                <w:highlight w:val="none"/>
                <w:lang w:val="zh-CN"/>
              </w:rPr>
              <w:t>日</w:t>
            </w:r>
            <w:r>
              <w:rPr>
                <w:rFonts w:hint="eastAsia" w:ascii="仿宋" w:hAnsi="仿宋" w:eastAsia="仿宋" w:cs="宋体"/>
                <w:sz w:val="24"/>
                <w:szCs w:val="24"/>
                <w:highlight w:val="none"/>
              </w:rPr>
              <w:t xml:space="preserve"> </w:t>
            </w:r>
            <w:r>
              <w:rPr>
                <w:rFonts w:hint="eastAsia" w:ascii="仿宋" w:hAnsi="仿宋" w:eastAsia="仿宋" w:cs="宋体"/>
                <w:sz w:val="24"/>
                <w:szCs w:val="24"/>
                <w:highlight w:val="none"/>
                <w:lang w:val="en-US" w:eastAsia="zh-CN"/>
              </w:rPr>
              <w:t>10</w:t>
            </w:r>
            <w:r>
              <w:rPr>
                <w:rFonts w:hint="eastAsia" w:ascii="仿宋" w:hAnsi="仿宋" w:eastAsia="仿宋" w:cs="宋体"/>
                <w:sz w:val="24"/>
                <w:szCs w:val="24"/>
                <w:highlight w:val="none"/>
                <w:lang w:val="zh-CN"/>
              </w:rPr>
              <w:t>时</w:t>
            </w:r>
            <w:r>
              <w:rPr>
                <w:rFonts w:ascii="仿宋" w:hAnsi="仿宋" w:eastAsia="仿宋"/>
                <w:sz w:val="24"/>
                <w:szCs w:val="24"/>
                <w:highlight w:val="none"/>
                <w:u w:val="single"/>
                <w:lang w:val="zh-CN"/>
              </w:rPr>
              <w:t>00</w:t>
            </w:r>
            <w:r>
              <w:rPr>
                <w:rFonts w:hint="eastAsia" w:ascii="仿宋" w:hAnsi="仿宋" w:eastAsia="仿宋" w:cs="宋体"/>
                <w:sz w:val="24"/>
                <w:szCs w:val="24"/>
                <w:highlight w:val="none"/>
                <w:lang w:val="zh-CN"/>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3</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报价</w:t>
            </w:r>
          </w:p>
        </w:tc>
        <w:tc>
          <w:tcPr>
            <w:tcW w:w="6257" w:type="dxa"/>
            <w:vAlign w:val="center"/>
          </w:tcPr>
          <w:p>
            <w:pPr>
              <w:spacing w:line="320" w:lineRule="exact"/>
              <w:rPr>
                <w:rFonts w:hint="eastAsia" w:ascii="仿宋" w:hAnsi="仿宋" w:eastAsia="仿宋"/>
                <w:sz w:val="24"/>
                <w:szCs w:val="24"/>
                <w:highlight w:val="none"/>
              </w:rPr>
            </w:pPr>
            <w:r>
              <w:rPr>
                <w:rFonts w:hint="eastAsia" w:ascii="仿宋" w:hAnsi="仿宋" w:eastAsia="仿宋"/>
                <w:sz w:val="24"/>
                <w:szCs w:val="24"/>
                <w:highlight w:val="none"/>
              </w:rPr>
              <w:t>补充详细要求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4</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谈判有效期</w:t>
            </w:r>
          </w:p>
        </w:tc>
        <w:tc>
          <w:tcPr>
            <w:tcW w:w="6257" w:type="dxa"/>
            <w:vAlign w:val="center"/>
          </w:tcPr>
          <w:p>
            <w:pPr>
              <w:spacing w:line="320" w:lineRule="exact"/>
              <w:rPr>
                <w:rFonts w:hint="eastAsia" w:ascii="仿宋" w:hAnsi="仿宋" w:eastAsia="仿宋"/>
                <w:sz w:val="24"/>
                <w:szCs w:val="24"/>
                <w:highlight w:val="none"/>
              </w:rPr>
            </w:pP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rPr>
              <w:t>90</w:t>
            </w:r>
            <w:r>
              <w:rPr>
                <w:rFonts w:ascii="仿宋" w:hAnsi="仿宋" w:eastAsia="仿宋"/>
                <w:sz w:val="24"/>
                <w:szCs w:val="24"/>
                <w:highlight w:val="none"/>
                <w:u w:val="single"/>
              </w:rPr>
              <w:t xml:space="preserve"> </w:t>
            </w:r>
            <w:r>
              <w:rPr>
                <w:rFonts w:hint="eastAsia" w:ascii="仿宋" w:hAnsi="仿宋" w:eastAsia="仿宋" w:cs="宋体"/>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restart"/>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5</w:t>
            </w: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响应文件份数</w:t>
            </w:r>
          </w:p>
        </w:tc>
        <w:tc>
          <w:tcPr>
            <w:tcW w:w="6257" w:type="dxa"/>
            <w:vAlign w:val="center"/>
          </w:tcPr>
          <w:p>
            <w:pPr>
              <w:spacing w:line="320" w:lineRule="exact"/>
              <w:rPr>
                <w:rFonts w:hint="eastAsia"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sz w:val="24"/>
                <w:szCs w:val="24"/>
                <w:highlight w:val="none"/>
              </w:rPr>
            </w:pPr>
          </w:p>
        </w:tc>
        <w:tc>
          <w:tcPr>
            <w:tcW w:w="2382" w:type="dxa"/>
            <w:vAlign w:val="center"/>
          </w:tcPr>
          <w:p>
            <w:pPr>
              <w:pStyle w:val="26"/>
              <w:spacing w:line="240" w:lineRule="atLeast"/>
              <w:jc w:val="center"/>
              <w:rPr>
                <w:rFonts w:hint="eastAsia" w:ascii="仿宋" w:hAnsi="仿宋" w:eastAsia="仿宋" w:cs="宋体"/>
                <w:highlight w:val="none"/>
                <w:lang w:val="zh-CN"/>
              </w:rPr>
            </w:pPr>
            <w:r>
              <w:rPr>
                <w:rFonts w:hint="eastAsia" w:ascii="仿宋" w:hAnsi="仿宋" w:eastAsia="仿宋" w:cs="宋体"/>
                <w:highlight w:val="none"/>
                <w:lang w:val="zh-CN"/>
              </w:rPr>
              <w:t>装订要求详见须知前附表</w:t>
            </w:r>
          </w:p>
        </w:tc>
        <w:tc>
          <w:tcPr>
            <w:tcW w:w="6257" w:type="dxa"/>
            <w:vAlign w:val="center"/>
          </w:tcPr>
          <w:p>
            <w:pPr>
              <w:pStyle w:val="26"/>
              <w:spacing w:line="240" w:lineRule="atLeast"/>
              <w:rPr>
                <w:rFonts w:hint="eastAsia" w:ascii="仿宋" w:hAnsi="仿宋" w:eastAsia="仿宋" w:cs="宋体"/>
                <w:highlight w:val="none"/>
                <w:lang w:val="zh-CN"/>
              </w:rPr>
            </w:pPr>
            <w:r>
              <w:rPr>
                <w:rFonts w:hint="eastAsia" w:ascii="仿宋" w:hAnsi="仿宋" w:eastAsia="仿宋"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43" w:type="dxa"/>
            <w:vMerge w:val="continue"/>
            <w:vAlign w:val="center"/>
          </w:tcPr>
          <w:p>
            <w:pPr>
              <w:spacing w:line="320" w:lineRule="exact"/>
              <w:jc w:val="center"/>
              <w:rPr>
                <w:rFonts w:hint="eastAsia" w:ascii="仿宋" w:hAnsi="仿宋" w:eastAsia="仿宋"/>
                <w:sz w:val="24"/>
                <w:szCs w:val="24"/>
                <w:highlight w:val="none"/>
              </w:rPr>
            </w:pPr>
          </w:p>
        </w:tc>
        <w:tc>
          <w:tcPr>
            <w:tcW w:w="2382"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cs="宋体"/>
                <w:kern w:val="0"/>
                <w:sz w:val="24"/>
                <w:highlight w:val="none"/>
              </w:rPr>
              <w:t>密封要求详见须知前附表</w:t>
            </w:r>
          </w:p>
        </w:tc>
        <w:tc>
          <w:tcPr>
            <w:tcW w:w="6257" w:type="dxa"/>
            <w:vAlign w:val="center"/>
          </w:tcPr>
          <w:p>
            <w:pPr>
              <w:pStyle w:val="26"/>
              <w:jc w:val="both"/>
              <w:rPr>
                <w:rFonts w:hint="eastAsia" w:ascii="仿宋" w:hAnsi="仿宋" w:eastAsia="仿宋"/>
                <w:b/>
                <w:kern w:val="0"/>
                <w:highlight w:val="none"/>
              </w:rPr>
            </w:pPr>
            <w:r>
              <w:rPr>
                <w:rFonts w:hint="eastAsia" w:ascii="仿宋" w:hAnsi="仿宋" w:eastAsia="仿宋"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3" w:type="dxa"/>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6</w:t>
            </w:r>
          </w:p>
        </w:tc>
        <w:tc>
          <w:tcPr>
            <w:tcW w:w="2382" w:type="dxa"/>
            <w:vAlign w:val="center"/>
          </w:tcPr>
          <w:p>
            <w:pPr>
              <w:spacing w:line="320" w:lineRule="exact"/>
              <w:jc w:val="center"/>
              <w:rPr>
                <w:rFonts w:hint="eastAsia" w:ascii="仿宋" w:hAnsi="仿宋" w:eastAsia="仿宋"/>
                <w:b/>
                <w:sz w:val="24"/>
                <w:szCs w:val="24"/>
                <w:highlight w:val="none"/>
                <w:lang w:val="zh-CN"/>
              </w:rPr>
            </w:pPr>
            <w:r>
              <w:rPr>
                <w:rFonts w:hint="eastAsia" w:ascii="仿宋" w:hAnsi="仿宋" w:eastAsia="仿宋"/>
                <w:b/>
                <w:sz w:val="24"/>
                <w:szCs w:val="24"/>
                <w:highlight w:val="none"/>
              </w:rPr>
              <w:t>谈判人员</w:t>
            </w:r>
            <w:r>
              <w:rPr>
                <w:rFonts w:ascii="仿宋" w:hAnsi="仿宋" w:eastAsia="仿宋"/>
                <w:b/>
                <w:sz w:val="24"/>
                <w:szCs w:val="24"/>
                <w:highlight w:val="none"/>
              </w:rPr>
              <w:t>要求</w:t>
            </w:r>
          </w:p>
        </w:tc>
        <w:tc>
          <w:tcPr>
            <w:tcW w:w="6257" w:type="dxa"/>
            <w:vAlign w:val="center"/>
          </w:tcPr>
          <w:p>
            <w:pPr>
              <w:pStyle w:val="26"/>
              <w:snapToGrid w:val="0"/>
              <w:spacing w:line="240" w:lineRule="atLeast"/>
              <w:rPr>
                <w:rFonts w:hint="eastAsia" w:ascii="仿宋" w:hAnsi="仿宋" w:eastAsia="仿宋"/>
                <w:b/>
                <w:highlight w:val="none"/>
              </w:rPr>
            </w:pPr>
            <w:r>
              <w:rPr>
                <w:rFonts w:hint="eastAsia" w:ascii="仿宋" w:hAnsi="仿宋" w:eastAsia="仿宋"/>
                <w:b/>
                <w:highlight w:val="none"/>
              </w:rPr>
              <w:t>响应人的法定代表人或委托代理人（须携带法人授权委托书原件及身份证原件，否则视为自动弃权）和相关技术人员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sz w:val="24"/>
                <w:szCs w:val="24"/>
                <w:highlight w:val="none"/>
              </w:rPr>
            </w:pPr>
            <w:r>
              <w:rPr>
                <w:rFonts w:hint="eastAsia" w:ascii="仿宋" w:hAnsi="仿宋" w:eastAsia="仿宋"/>
                <w:sz w:val="24"/>
                <w:szCs w:val="24"/>
                <w:highlight w:val="none"/>
              </w:rPr>
              <w:t>7</w:t>
            </w:r>
          </w:p>
        </w:tc>
        <w:tc>
          <w:tcPr>
            <w:tcW w:w="238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sz w:val="24"/>
                <w:szCs w:val="24"/>
                <w:highlight w:val="none"/>
              </w:rPr>
            </w:pPr>
            <w:r>
              <w:rPr>
                <w:rFonts w:hint="eastAsia" w:ascii="仿宋" w:hAnsi="仿宋" w:eastAsia="仿宋"/>
                <w:sz w:val="24"/>
                <w:szCs w:val="24"/>
                <w:highlight w:val="none"/>
              </w:rPr>
              <w:t>需要补充</w:t>
            </w:r>
            <w:r>
              <w:rPr>
                <w:rFonts w:ascii="仿宋" w:hAnsi="仿宋" w:eastAsia="仿宋"/>
                <w:sz w:val="24"/>
                <w:szCs w:val="24"/>
                <w:highlight w:val="none"/>
              </w:rPr>
              <w:t>的</w:t>
            </w:r>
            <w:r>
              <w:rPr>
                <w:rFonts w:hint="eastAsia" w:ascii="仿宋" w:hAnsi="仿宋" w:eastAsia="仿宋"/>
                <w:sz w:val="24"/>
                <w:szCs w:val="24"/>
                <w:highlight w:val="none"/>
              </w:rPr>
              <w:t>其他</w:t>
            </w:r>
            <w:r>
              <w:rPr>
                <w:rFonts w:ascii="仿宋" w:hAnsi="仿宋" w:eastAsia="仿宋"/>
                <w:sz w:val="24"/>
                <w:szCs w:val="24"/>
                <w:highlight w:val="none"/>
              </w:rPr>
              <w:t>内容</w:t>
            </w:r>
          </w:p>
        </w:tc>
        <w:tc>
          <w:tcPr>
            <w:tcW w:w="6257" w:type="dxa"/>
            <w:tcBorders>
              <w:top w:val="single" w:color="auto" w:sz="4" w:space="0"/>
              <w:left w:val="single" w:color="auto" w:sz="4" w:space="0"/>
              <w:bottom w:val="single" w:color="auto" w:sz="4" w:space="0"/>
              <w:right w:val="single" w:color="auto" w:sz="4" w:space="0"/>
            </w:tcBorders>
            <w:vAlign w:val="center"/>
          </w:tcPr>
          <w:p>
            <w:pPr>
              <w:pStyle w:val="26"/>
              <w:rPr>
                <w:rFonts w:hint="eastAsia" w:ascii="仿宋" w:hAnsi="仿宋" w:eastAsia="仿宋" w:cs="宋体"/>
                <w:highlight w:val="none"/>
              </w:rPr>
            </w:pPr>
            <w:r>
              <w:rPr>
                <w:rFonts w:hint="eastAsia" w:ascii="仿宋" w:hAnsi="仿宋" w:eastAsia="仿宋" w:cs="宋体"/>
                <w:highlight w:val="none"/>
              </w:rPr>
              <w:t>无</w:t>
            </w:r>
          </w:p>
        </w:tc>
      </w:tr>
    </w:tbl>
    <w:p>
      <w:pPr>
        <w:pStyle w:val="5"/>
        <w:rPr>
          <w:rFonts w:hint="eastAsia"/>
          <w:highlight w:val="none"/>
        </w:rPr>
      </w:pPr>
      <w:r>
        <w:rPr>
          <w:sz w:val="24"/>
          <w:highlight w:val="none"/>
        </w:rPr>
        <w:br w:type="page"/>
      </w:r>
      <w:bookmarkStart w:id="28" w:name="_Toc434479601"/>
      <w:bookmarkStart w:id="29" w:name="_Toc433814078"/>
      <w:bookmarkStart w:id="30" w:name="_Toc58490779"/>
      <w:bookmarkStart w:id="31" w:name="总则"/>
      <w:r>
        <w:rPr>
          <w:rFonts w:hint="eastAsia"/>
          <w:highlight w:val="none"/>
        </w:rPr>
        <w:t>1、谈判费用</w:t>
      </w:r>
      <w:bookmarkEnd w:id="28"/>
      <w:bookmarkEnd w:id="29"/>
      <w:bookmarkEnd w:id="30"/>
    </w:p>
    <w:bookmarkEnd w:id="31"/>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不论</w:t>
      </w:r>
      <w:r>
        <w:rPr>
          <w:rFonts w:ascii="仿宋" w:hAnsi="仿宋" w:eastAsia="仿宋" w:cs="宋体"/>
          <w:kern w:val="0"/>
          <w:sz w:val="24"/>
          <w:highlight w:val="none"/>
        </w:rPr>
        <w:t>谈</w:t>
      </w:r>
      <w:r>
        <w:rPr>
          <w:rFonts w:hint="eastAsia" w:ascii="仿宋" w:hAnsi="仿宋" w:eastAsia="仿宋" w:cs="宋体"/>
          <w:kern w:val="0"/>
          <w:sz w:val="24"/>
          <w:highlight w:val="none"/>
        </w:rPr>
        <w:t>判采购结果如何，响应人参与本次</w:t>
      </w:r>
      <w:r>
        <w:rPr>
          <w:rFonts w:ascii="仿宋" w:hAnsi="仿宋" w:eastAsia="仿宋" w:cs="宋体"/>
          <w:kern w:val="0"/>
          <w:sz w:val="24"/>
          <w:highlight w:val="none"/>
        </w:rPr>
        <w:t>谈</w:t>
      </w:r>
      <w:r>
        <w:rPr>
          <w:rFonts w:hint="eastAsia" w:ascii="仿宋" w:hAnsi="仿宋" w:eastAsia="仿宋" w:cs="宋体"/>
          <w:kern w:val="0"/>
          <w:sz w:val="24"/>
          <w:highlight w:val="none"/>
        </w:rPr>
        <w:t>判采购，包括现场踏勘、组织编写和提交谈判响应文件及谈判过程中的一切费用均由响应人自理。</w:t>
      </w:r>
      <w:r>
        <w:rPr>
          <w:rFonts w:ascii="仿宋" w:hAnsi="仿宋" w:eastAsia="仿宋"/>
          <w:kern w:val="0"/>
          <w:sz w:val="24"/>
          <w:highlight w:val="none"/>
        </w:rPr>
        <w:t xml:space="preserve"> </w:t>
      </w:r>
    </w:p>
    <w:p>
      <w:pPr>
        <w:pStyle w:val="5"/>
        <w:rPr>
          <w:rFonts w:hint="eastAsia"/>
          <w:highlight w:val="none"/>
        </w:rPr>
      </w:pPr>
      <w:bookmarkStart w:id="32" w:name="_Toc429570968"/>
      <w:bookmarkStart w:id="33" w:name="_Toc434479602"/>
      <w:bookmarkStart w:id="34" w:name="_Toc433814079"/>
      <w:bookmarkStart w:id="35" w:name="_Toc431150202"/>
      <w:bookmarkStart w:id="36" w:name="_Toc58490780"/>
      <w:r>
        <w:rPr>
          <w:highlight w:val="none"/>
        </w:rPr>
        <w:t>2</w:t>
      </w:r>
      <w:r>
        <w:rPr>
          <w:rFonts w:hint="eastAsia"/>
          <w:highlight w:val="none"/>
        </w:rPr>
        <w:t>、</w:t>
      </w:r>
      <w:bookmarkEnd w:id="32"/>
      <w:bookmarkStart w:id="37" w:name="竞争性谈判"/>
      <w:r>
        <w:rPr>
          <w:rFonts w:hint="eastAsia"/>
          <w:highlight w:val="none"/>
        </w:rPr>
        <w:t>谈判</w:t>
      </w:r>
      <w:bookmarkEnd w:id="33"/>
      <w:bookmarkEnd w:id="34"/>
      <w:bookmarkEnd w:id="35"/>
      <w:r>
        <w:rPr>
          <w:rFonts w:hint="eastAsia"/>
          <w:highlight w:val="none"/>
        </w:rPr>
        <w:t>文件</w:t>
      </w:r>
      <w:bookmarkEnd w:id="36"/>
      <w:r>
        <w:rPr>
          <w:highlight w:val="none"/>
        </w:rPr>
        <w:t xml:space="preserve"> </w:t>
      </w:r>
      <w:bookmarkEnd w:id="37"/>
    </w:p>
    <w:p>
      <w:pPr>
        <w:pStyle w:val="7"/>
        <w:rPr>
          <w:rFonts w:hint="eastAsia"/>
          <w:highlight w:val="none"/>
        </w:rPr>
      </w:pPr>
      <w:bookmarkStart w:id="38" w:name="_Toc58490781"/>
      <w:bookmarkStart w:id="39" w:name="_Toc444296335"/>
      <w:bookmarkStart w:id="40" w:name="_Toc449101789"/>
      <w:bookmarkStart w:id="41" w:name="_Toc514919738"/>
      <w:bookmarkStart w:id="42" w:name="_Toc514920888"/>
      <w:r>
        <w:rPr>
          <w:rFonts w:hint="eastAsia"/>
          <w:highlight w:val="none"/>
        </w:rPr>
        <w:t>2.1  谈判文件</w:t>
      </w:r>
      <w:bookmarkEnd w:id="38"/>
      <w:bookmarkEnd w:id="39"/>
      <w:bookmarkEnd w:id="40"/>
      <w:bookmarkEnd w:id="41"/>
      <w:bookmarkEnd w:id="42"/>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包括下表所列文件：</w:t>
      </w:r>
      <w:r>
        <w:rPr>
          <w:rFonts w:ascii="仿宋" w:hAnsi="仿宋" w:eastAsia="仿宋" w:cs="宋体"/>
          <w:kern w:val="0"/>
          <w:sz w:val="24"/>
          <w:highlight w:val="none"/>
        </w:rPr>
        <w:t xml:space="preserve"> </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692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Borders>
              <w:top w:val="single" w:color="auto" w:sz="8" w:space="0"/>
            </w:tcBorders>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章号</w:t>
            </w:r>
          </w:p>
        </w:tc>
        <w:tc>
          <w:tcPr>
            <w:tcW w:w="6925" w:type="dxa"/>
            <w:tcBorders>
              <w:top w:val="single" w:color="auto" w:sz="8" w:space="0"/>
            </w:tcBorders>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名称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一</w:t>
            </w:r>
          </w:p>
        </w:tc>
        <w:tc>
          <w:tcPr>
            <w:tcW w:w="6925"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谈判采购公告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二</w:t>
            </w:r>
          </w:p>
        </w:tc>
        <w:tc>
          <w:tcPr>
            <w:tcW w:w="6925"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谈判</w:t>
            </w:r>
            <w:r>
              <w:rPr>
                <w:rFonts w:ascii="仿宋" w:hAnsi="仿宋" w:eastAsia="仿宋" w:cs="宋体"/>
                <w:sz w:val="24"/>
                <w:szCs w:val="24"/>
                <w:highlight w:val="none"/>
              </w:rPr>
              <w:t>响应人</w:t>
            </w:r>
            <w:r>
              <w:rPr>
                <w:rFonts w:hint="eastAsia" w:ascii="仿宋" w:hAnsi="仿宋" w:eastAsia="仿宋" w:cs="宋体"/>
                <w:sz w:val="24"/>
                <w:szCs w:val="24"/>
                <w:highlight w:val="none"/>
              </w:rPr>
              <w:t>须知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三</w:t>
            </w:r>
          </w:p>
        </w:tc>
        <w:tc>
          <w:tcPr>
            <w:tcW w:w="6925"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合同条款及格式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四</w:t>
            </w:r>
          </w:p>
        </w:tc>
        <w:tc>
          <w:tcPr>
            <w:tcW w:w="6925"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响应文件格式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597"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cs="宋体"/>
                <w:sz w:val="24"/>
                <w:szCs w:val="24"/>
                <w:highlight w:val="none"/>
              </w:rPr>
              <w:t>五</w:t>
            </w:r>
          </w:p>
        </w:tc>
        <w:tc>
          <w:tcPr>
            <w:tcW w:w="6925" w:type="dxa"/>
          </w:tcPr>
          <w:p>
            <w:pPr>
              <w:autoSpaceDE w:val="0"/>
              <w:autoSpaceDN w:val="0"/>
              <w:adjustRightInd w:val="0"/>
              <w:spacing w:before="100" w:after="100"/>
              <w:jc w:val="center"/>
              <w:rPr>
                <w:rFonts w:hint="eastAsia" w:ascii="仿宋" w:hAnsi="仿宋" w:eastAsia="仿宋"/>
                <w:sz w:val="24"/>
                <w:szCs w:val="24"/>
                <w:highlight w:val="none"/>
              </w:rPr>
            </w:pPr>
            <w:r>
              <w:rPr>
                <w:rFonts w:hint="eastAsia" w:ascii="仿宋" w:hAnsi="仿宋" w:eastAsia="仿宋"/>
                <w:sz w:val="24"/>
                <w:szCs w:val="24"/>
                <w:highlight w:val="none"/>
              </w:rPr>
              <w:t>技术文件</w:t>
            </w:r>
          </w:p>
        </w:tc>
      </w:tr>
    </w:tbl>
    <w:p>
      <w:pPr>
        <w:spacing w:line="360" w:lineRule="exact"/>
        <w:rPr>
          <w:rFonts w:hint="eastAsia" w:ascii="仿宋" w:hAnsi="仿宋" w:eastAsia="仿宋"/>
          <w:sz w:val="24"/>
          <w:highlight w:val="none"/>
        </w:rPr>
      </w:pPr>
    </w:p>
    <w:p>
      <w:pPr>
        <w:pStyle w:val="7"/>
        <w:rPr>
          <w:rFonts w:hint="eastAsia"/>
          <w:highlight w:val="none"/>
        </w:rPr>
      </w:pPr>
      <w:bookmarkStart w:id="43" w:name="_Toc444296336"/>
      <w:bookmarkStart w:id="44" w:name="_Toc514919739"/>
      <w:bookmarkStart w:id="45" w:name="_Toc58490782"/>
      <w:bookmarkStart w:id="46" w:name="_Toc449101790"/>
      <w:bookmarkStart w:id="47" w:name="_Toc514920889"/>
      <w:r>
        <w:rPr>
          <w:highlight w:val="none"/>
        </w:rPr>
        <w:t>2.2  谈判</w:t>
      </w:r>
      <w:r>
        <w:rPr>
          <w:rFonts w:hint="eastAsia"/>
          <w:highlight w:val="none"/>
        </w:rPr>
        <w:t>采购文件的澄清</w:t>
      </w:r>
      <w:bookmarkEnd w:id="43"/>
      <w:bookmarkEnd w:id="44"/>
      <w:bookmarkEnd w:id="45"/>
      <w:bookmarkEnd w:id="46"/>
      <w:bookmarkEnd w:id="47"/>
      <w:r>
        <w:rPr>
          <w:highlight w:val="none"/>
        </w:rPr>
        <w:t xml:space="preserve"> </w:t>
      </w:r>
    </w:p>
    <w:p>
      <w:pPr>
        <w:autoSpaceDE w:val="0"/>
        <w:autoSpaceDN w:val="0"/>
        <w:adjustRightInd w:val="0"/>
        <w:spacing w:line="360" w:lineRule="auto"/>
        <w:ind w:firstLine="482"/>
        <w:rPr>
          <w:rFonts w:hint="eastAsia" w:ascii="仿宋" w:hAnsi="仿宋" w:eastAsia="仿宋"/>
          <w:sz w:val="24"/>
          <w:highlight w:val="none"/>
        </w:rPr>
      </w:pPr>
      <w:r>
        <w:rPr>
          <w:rFonts w:hint="eastAsia" w:ascii="仿宋" w:hAnsi="仿宋" w:eastAsia="仿宋" w:cs="仿宋"/>
          <w:kern w:val="0"/>
          <w:sz w:val="24"/>
          <w:highlight w:val="none"/>
        </w:rPr>
        <w:t>响应人对谈判采购文件</w:t>
      </w:r>
      <w:r>
        <w:rPr>
          <w:rFonts w:hint="eastAsia" w:ascii="仿宋" w:hAnsi="仿宋" w:eastAsia="仿宋" w:cs="仿宋"/>
          <w:sz w:val="24"/>
          <w:highlight w:val="none"/>
        </w:rPr>
        <w:t>有疑问的，应在响应人须知前附表规定的时间前通过电话或邮件向采购人提出。</w:t>
      </w:r>
    </w:p>
    <w:p>
      <w:pPr>
        <w:pStyle w:val="7"/>
        <w:rPr>
          <w:rFonts w:hint="eastAsia"/>
          <w:highlight w:val="none"/>
        </w:rPr>
      </w:pPr>
      <w:bookmarkStart w:id="48" w:name="_Toc58490783"/>
      <w:bookmarkStart w:id="49" w:name="_Toc514920890"/>
      <w:bookmarkStart w:id="50" w:name="_Toc514919740"/>
      <w:bookmarkStart w:id="51" w:name="_Toc449101791"/>
      <w:bookmarkStart w:id="52" w:name="_Toc444296337"/>
      <w:r>
        <w:rPr>
          <w:highlight w:val="none"/>
        </w:rPr>
        <w:t>2.3  谈判</w:t>
      </w:r>
      <w:r>
        <w:rPr>
          <w:rFonts w:hint="eastAsia"/>
          <w:highlight w:val="none"/>
        </w:rPr>
        <w:t>采购文件的修改</w:t>
      </w:r>
      <w:bookmarkEnd w:id="48"/>
      <w:bookmarkEnd w:id="49"/>
      <w:bookmarkEnd w:id="50"/>
      <w:bookmarkEnd w:id="51"/>
      <w:bookmarkEnd w:id="52"/>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仿宋"/>
          <w:kern w:val="0"/>
          <w:sz w:val="24"/>
          <w:highlight w:val="none"/>
        </w:rPr>
        <w:t>在递交谈判响应文件截止日3天前，</w:t>
      </w:r>
      <w:r>
        <w:rPr>
          <w:rFonts w:hint="eastAsia" w:ascii="仿宋" w:hAnsi="仿宋" w:eastAsia="仿宋" w:cs="仿宋"/>
          <w:sz w:val="24"/>
          <w:highlight w:val="none"/>
        </w:rPr>
        <w:t>采购人可以对已发出的谈判采购文件通过十二局官网进行修改。</w:t>
      </w:r>
      <w:r>
        <w:rPr>
          <w:rFonts w:ascii="仿宋" w:hAnsi="仿宋" w:eastAsia="仿宋"/>
          <w:kern w:val="0"/>
          <w:sz w:val="24"/>
          <w:highlight w:val="none"/>
        </w:rPr>
        <w:t xml:space="preserve"> </w:t>
      </w:r>
    </w:p>
    <w:p>
      <w:pPr>
        <w:pStyle w:val="5"/>
        <w:rPr>
          <w:rFonts w:hint="eastAsia"/>
          <w:highlight w:val="none"/>
        </w:rPr>
      </w:pPr>
      <w:bookmarkStart w:id="53" w:name="_Toc429570969"/>
      <w:bookmarkStart w:id="54" w:name="_Toc434479603"/>
      <w:bookmarkStart w:id="55" w:name="_Toc431150203"/>
      <w:bookmarkStart w:id="56" w:name="_Toc433814080"/>
      <w:bookmarkStart w:id="57" w:name="_Toc58490784"/>
      <w:r>
        <w:rPr>
          <w:highlight w:val="none"/>
        </w:rPr>
        <w:t>3</w:t>
      </w:r>
      <w:r>
        <w:rPr>
          <w:rFonts w:hint="eastAsia"/>
          <w:highlight w:val="none"/>
        </w:rPr>
        <w:t>、</w:t>
      </w:r>
      <w:bookmarkEnd w:id="53"/>
      <w:bookmarkStart w:id="58" w:name="竞争性谈判响应文件的编制"/>
      <w:r>
        <w:rPr>
          <w:rFonts w:hint="eastAsia"/>
          <w:highlight w:val="none"/>
        </w:rPr>
        <w:t>谈判响应文件的编制</w:t>
      </w:r>
      <w:bookmarkEnd w:id="54"/>
      <w:bookmarkEnd w:id="55"/>
      <w:bookmarkEnd w:id="56"/>
      <w:bookmarkEnd w:id="57"/>
      <w:bookmarkEnd w:id="58"/>
    </w:p>
    <w:p>
      <w:pPr>
        <w:pStyle w:val="7"/>
        <w:rPr>
          <w:rFonts w:hint="eastAsia"/>
          <w:highlight w:val="none"/>
        </w:rPr>
      </w:pPr>
      <w:bookmarkStart w:id="59" w:name="_Toc444296339"/>
      <w:bookmarkStart w:id="60" w:name="_Toc449101793"/>
      <w:bookmarkStart w:id="61" w:name="_Toc58490785"/>
      <w:bookmarkStart w:id="62" w:name="_Toc514920892"/>
      <w:bookmarkStart w:id="63" w:name="_Toc514919742"/>
      <w:r>
        <w:rPr>
          <w:rFonts w:hint="eastAsia"/>
          <w:highlight w:val="none"/>
        </w:rPr>
        <w:t>3</w:t>
      </w:r>
      <w:r>
        <w:rPr>
          <w:highlight w:val="none"/>
        </w:rPr>
        <w:t xml:space="preserve">.1  </w:t>
      </w:r>
      <w:bookmarkEnd w:id="59"/>
      <w:r>
        <w:rPr>
          <w:rFonts w:hint="eastAsia"/>
          <w:highlight w:val="none"/>
        </w:rPr>
        <w:t>响应</w:t>
      </w:r>
      <w:r>
        <w:rPr>
          <w:highlight w:val="none"/>
        </w:rPr>
        <w:t>文件的构成：</w:t>
      </w:r>
      <w:bookmarkEnd w:id="60"/>
      <w:bookmarkEnd w:id="61"/>
      <w:bookmarkEnd w:id="62"/>
      <w:bookmarkEnd w:id="63"/>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（1</w:t>
      </w:r>
      <w:r>
        <w:rPr>
          <w:rFonts w:ascii="仿宋" w:hAnsi="仿宋" w:eastAsia="仿宋" w:cs="宋体"/>
          <w:kern w:val="0"/>
          <w:sz w:val="24"/>
          <w:highlight w:val="none"/>
        </w:rPr>
        <w:t>）</w:t>
      </w:r>
      <w:r>
        <w:rPr>
          <w:rFonts w:hint="eastAsia" w:ascii="仿宋" w:hAnsi="仿宋" w:eastAsia="仿宋" w:cs="宋体"/>
          <w:kern w:val="0"/>
          <w:sz w:val="24"/>
          <w:highlight w:val="none"/>
        </w:rPr>
        <w:t>应包括下列部分：</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1）</w:t>
      </w:r>
      <w:r>
        <w:rPr>
          <w:rFonts w:ascii="仿宋" w:hAnsi="仿宋" w:eastAsia="仿宋" w:cs="宋体"/>
          <w:kern w:val="0"/>
          <w:sz w:val="24"/>
          <w:highlight w:val="none"/>
        </w:rPr>
        <w:t>谈判</w:t>
      </w:r>
      <w:r>
        <w:rPr>
          <w:rFonts w:hint="eastAsia" w:ascii="仿宋" w:hAnsi="仿宋" w:eastAsia="仿宋" w:cs="宋体"/>
          <w:kern w:val="0"/>
          <w:sz w:val="24"/>
          <w:highlight w:val="none"/>
        </w:rPr>
        <w:t>报价函</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2）法定代表人</w:t>
      </w:r>
      <w:r>
        <w:rPr>
          <w:rFonts w:ascii="仿宋" w:hAnsi="仿宋" w:eastAsia="仿宋" w:cs="宋体"/>
          <w:kern w:val="0"/>
          <w:sz w:val="24"/>
          <w:highlight w:val="none"/>
        </w:rPr>
        <w:t>授权</w:t>
      </w:r>
      <w:r>
        <w:rPr>
          <w:rFonts w:hint="eastAsia" w:ascii="仿宋" w:hAnsi="仿宋" w:eastAsia="仿宋" w:cs="宋体"/>
          <w:kern w:val="0"/>
          <w:sz w:val="24"/>
          <w:highlight w:val="none"/>
        </w:rPr>
        <w:t>委托书</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3）报价表</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4）</w:t>
      </w:r>
      <w:r>
        <w:rPr>
          <w:rFonts w:hint="eastAsia" w:ascii="仿宋" w:hAnsi="仿宋" w:eastAsia="仿宋" w:cs="宋体"/>
          <w:kern w:val="0"/>
          <w:sz w:val="24"/>
          <w:highlight w:val="none"/>
          <w:lang w:val="en-US" w:eastAsia="zh-CN"/>
        </w:rPr>
        <w:t>平台终验</w:t>
      </w:r>
      <w:r>
        <w:rPr>
          <w:rFonts w:hint="eastAsia" w:ascii="仿宋" w:hAnsi="仿宋" w:eastAsia="仿宋" w:cs="仿宋"/>
          <w:sz w:val="24"/>
          <w:szCs w:val="24"/>
          <w:highlight w:val="none"/>
        </w:rPr>
        <w:t>过后的售后服务保障计划（含服务内容、等级、响应时间、费用等）</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hint="eastAsia" w:ascii="仿宋" w:hAnsi="仿宋" w:eastAsia="仿宋" w:cs="宋体"/>
          <w:kern w:val="0"/>
          <w:sz w:val="24"/>
          <w:highlight w:val="none"/>
        </w:rPr>
        <w:t>5）响应人</w:t>
      </w:r>
      <w:r>
        <w:rPr>
          <w:rFonts w:ascii="仿宋" w:hAnsi="仿宋" w:eastAsia="仿宋" w:cs="宋体"/>
          <w:kern w:val="0"/>
          <w:sz w:val="24"/>
          <w:highlight w:val="none"/>
        </w:rPr>
        <w:t>信息</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hint="eastAsia" w:ascii="仿宋" w:hAnsi="仿宋" w:eastAsia="仿宋" w:cs="宋体"/>
          <w:kern w:val="0"/>
          <w:sz w:val="24"/>
          <w:highlight w:val="none"/>
        </w:rPr>
        <w:t>6）响应人廉政</w:t>
      </w:r>
      <w:r>
        <w:rPr>
          <w:rFonts w:ascii="仿宋" w:hAnsi="仿宋" w:eastAsia="仿宋" w:cs="宋体"/>
          <w:kern w:val="0"/>
          <w:sz w:val="24"/>
          <w:highlight w:val="none"/>
        </w:rPr>
        <w:t>承诺书</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hint="eastAsia" w:ascii="仿宋" w:hAnsi="仿宋" w:eastAsia="仿宋" w:cs="宋体"/>
          <w:kern w:val="0"/>
          <w:sz w:val="24"/>
          <w:highlight w:val="none"/>
        </w:rPr>
        <w:t>7）商务</w:t>
      </w:r>
      <w:r>
        <w:rPr>
          <w:rFonts w:ascii="仿宋" w:hAnsi="仿宋" w:eastAsia="仿宋" w:cs="宋体"/>
          <w:kern w:val="0"/>
          <w:sz w:val="24"/>
          <w:highlight w:val="none"/>
        </w:rPr>
        <w:t>偏差</w:t>
      </w:r>
      <w:r>
        <w:rPr>
          <w:rFonts w:hint="eastAsia" w:ascii="仿宋" w:hAnsi="仿宋" w:eastAsia="仿宋" w:cs="宋体"/>
          <w:kern w:val="0"/>
          <w:sz w:val="24"/>
          <w:highlight w:val="none"/>
        </w:rPr>
        <w:t>表</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hint="eastAsia" w:ascii="仿宋" w:hAnsi="仿宋" w:eastAsia="仿宋" w:cs="宋体"/>
          <w:kern w:val="0"/>
          <w:sz w:val="24"/>
          <w:highlight w:val="none"/>
        </w:rPr>
        <w:t>8）</w:t>
      </w:r>
      <w:r>
        <w:rPr>
          <w:rFonts w:hint="eastAsia" w:ascii="仿宋" w:hAnsi="仿宋" w:eastAsia="仿宋"/>
          <w:kern w:val="0"/>
          <w:sz w:val="24"/>
          <w:highlight w:val="none"/>
        </w:rPr>
        <w:t>响应人</w:t>
      </w:r>
      <w:r>
        <w:rPr>
          <w:rFonts w:ascii="仿宋" w:hAnsi="仿宋" w:eastAsia="仿宋"/>
          <w:kern w:val="0"/>
          <w:sz w:val="24"/>
          <w:highlight w:val="none"/>
        </w:rPr>
        <w:t>认为应</w:t>
      </w:r>
      <w:r>
        <w:rPr>
          <w:rFonts w:hint="eastAsia" w:ascii="仿宋" w:hAnsi="仿宋" w:eastAsia="仿宋"/>
          <w:kern w:val="0"/>
          <w:sz w:val="24"/>
          <w:highlight w:val="none"/>
        </w:rPr>
        <w:t>补充</w:t>
      </w:r>
      <w:r>
        <w:rPr>
          <w:rFonts w:ascii="仿宋" w:hAnsi="仿宋" w:eastAsia="仿宋"/>
          <w:kern w:val="0"/>
          <w:sz w:val="24"/>
          <w:highlight w:val="none"/>
        </w:rPr>
        <w:t>的其他</w:t>
      </w:r>
      <w:r>
        <w:rPr>
          <w:rFonts w:hint="eastAsia" w:ascii="仿宋" w:hAnsi="仿宋" w:eastAsia="仿宋"/>
          <w:kern w:val="0"/>
          <w:sz w:val="24"/>
          <w:highlight w:val="none"/>
        </w:rPr>
        <w:t>商务</w:t>
      </w:r>
      <w:r>
        <w:rPr>
          <w:rFonts w:ascii="仿宋" w:hAnsi="仿宋" w:eastAsia="仿宋"/>
          <w:kern w:val="0"/>
          <w:sz w:val="24"/>
          <w:highlight w:val="none"/>
        </w:rPr>
        <w:t>资料</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hint="eastAsia" w:ascii="仿宋" w:hAnsi="仿宋" w:eastAsia="仿宋" w:cs="宋体"/>
          <w:kern w:val="0"/>
          <w:sz w:val="24"/>
          <w:highlight w:val="none"/>
        </w:rPr>
        <w:t>9）技术偏差表</w:t>
      </w:r>
    </w:p>
    <w:p>
      <w:pPr>
        <w:tabs>
          <w:tab w:val="left" w:pos="0"/>
          <w:tab w:val="left" w:pos="993"/>
        </w:tabs>
        <w:autoSpaceDE w:val="0"/>
        <w:autoSpaceDN w:val="0"/>
        <w:adjustRightInd w:val="0"/>
        <w:spacing w:line="360" w:lineRule="auto"/>
        <w:ind w:left="484"/>
        <w:rPr>
          <w:rFonts w:hint="eastAsia" w:ascii="仿宋" w:hAnsi="仿宋" w:eastAsia="仿宋"/>
          <w:kern w:val="0"/>
          <w:sz w:val="24"/>
          <w:highlight w:val="none"/>
        </w:rPr>
      </w:pPr>
      <w:r>
        <w:rPr>
          <w:rFonts w:ascii="仿宋" w:hAnsi="仿宋" w:eastAsia="仿宋" w:cs="宋体"/>
          <w:kern w:val="0"/>
          <w:sz w:val="24"/>
          <w:highlight w:val="none"/>
        </w:rPr>
        <w:t>1</w:t>
      </w:r>
      <w:r>
        <w:rPr>
          <w:rFonts w:hint="eastAsia" w:ascii="仿宋" w:hAnsi="仿宋" w:eastAsia="仿宋" w:cs="宋体"/>
          <w:kern w:val="0"/>
          <w:sz w:val="24"/>
          <w:highlight w:val="none"/>
        </w:rPr>
        <w:t>0）项目说明及技术文件</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（2</w:t>
      </w:r>
      <w:r>
        <w:rPr>
          <w:rFonts w:ascii="仿宋" w:hAnsi="仿宋" w:eastAsia="仿宋" w:cs="宋体"/>
          <w:kern w:val="0"/>
          <w:sz w:val="24"/>
          <w:highlight w:val="none"/>
        </w:rPr>
        <w:t>）</w:t>
      </w:r>
      <w:r>
        <w:rPr>
          <w:rFonts w:hint="eastAsia" w:ascii="仿宋" w:hAnsi="仿宋" w:eastAsia="仿宋" w:cs="宋体"/>
          <w:kern w:val="0"/>
          <w:sz w:val="24"/>
          <w:highlight w:val="none"/>
        </w:rPr>
        <w:t>最终报价文件应</w:t>
      </w:r>
      <w:r>
        <w:rPr>
          <w:rFonts w:ascii="仿宋" w:hAnsi="仿宋" w:eastAsia="仿宋" w:cs="宋体"/>
          <w:kern w:val="0"/>
          <w:sz w:val="24"/>
          <w:highlight w:val="none"/>
        </w:rPr>
        <w:t>包括：</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hint="eastAsia" w:ascii="仿宋" w:hAnsi="仿宋" w:eastAsia="仿宋" w:cs="宋体"/>
          <w:kern w:val="0"/>
          <w:sz w:val="24"/>
          <w:highlight w:val="none"/>
        </w:rPr>
        <w:t>1）最终报价表（含</w:t>
      </w:r>
      <w:r>
        <w:rPr>
          <w:rFonts w:ascii="仿宋" w:hAnsi="仿宋" w:eastAsia="仿宋" w:cs="宋体"/>
          <w:kern w:val="0"/>
          <w:sz w:val="24"/>
          <w:highlight w:val="none"/>
        </w:rPr>
        <w:t>分项报价</w:t>
      </w:r>
      <w:r>
        <w:rPr>
          <w:rFonts w:hint="eastAsia" w:ascii="仿宋" w:hAnsi="仿宋" w:eastAsia="仿宋" w:cs="宋体"/>
          <w:kern w:val="0"/>
          <w:sz w:val="24"/>
          <w:highlight w:val="none"/>
        </w:rPr>
        <w:t>）</w:t>
      </w:r>
    </w:p>
    <w:p>
      <w:pPr>
        <w:tabs>
          <w:tab w:val="left" w:pos="0"/>
          <w:tab w:val="left" w:pos="993"/>
        </w:tabs>
        <w:autoSpaceDE w:val="0"/>
        <w:autoSpaceDN w:val="0"/>
        <w:adjustRightInd w:val="0"/>
        <w:spacing w:line="360" w:lineRule="auto"/>
        <w:ind w:left="484"/>
        <w:rPr>
          <w:rFonts w:hint="eastAsia" w:ascii="仿宋" w:hAnsi="仿宋" w:eastAsia="仿宋" w:cs="宋体"/>
          <w:kern w:val="0"/>
          <w:sz w:val="24"/>
          <w:highlight w:val="none"/>
        </w:rPr>
      </w:pPr>
      <w:r>
        <w:rPr>
          <w:rFonts w:ascii="仿宋" w:hAnsi="仿宋" w:eastAsia="仿宋" w:cs="宋体"/>
          <w:kern w:val="0"/>
          <w:sz w:val="24"/>
          <w:highlight w:val="none"/>
        </w:rPr>
        <w:t>2</w:t>
      </w:r>
      <w:r>
        <w:rPr>
          <w:rFonts w:hint="eastAsia" w:ascii="仿宋" w:hAnsi="仿宋" w:eastAsia="仿宋" w:cs="宋体"/>
          <w:kern w:val="0"/>
          <w:sz w:val="24"/>
          <w:highlight w:val="none"/>
        </w:rPr>
        <w:t>）谈判</w:t>
      </w:r>
      <w:r>
        <w:rPr>
          <w:rFonts w:ascii="仿宋" w:hAnsi="仿宋" w:eastAsia="仿宋" w:cs="宋体"/>
          <w:kern w:val="0"/>
          <w:sz w:val="24"/>
          <w:highlight w:val="none"/>
        </w:rPr>
        <w:t>小组要求的其他资料</w:t>
      </w:r>
    </w:p>
    <w:p>
      <w:pPr>
        <w:pStyle w:val="7"/>
        <w:rPr>
          <w:rFonts w:hint="eastAsia"/>
          <w:highlight w:val="none"/>
        </w:rPr>
      </w:pPr>
      <w:bookmarkStart w:id="64" w:name="_Toc449101794"/>
      <w:bookmarkStart w:id="65" w:name="_Toc514920893"/>
      <w:bookmarkStart w:id="66" w:name="_Toc514919743"/>
      <w:bookmarkStart w:id="67" w:name="_Toc58490786"/>
      <w:bookmarkStart w:id="68" w:name="_Toc444296340"/>
      <w:r>
        <w:rPr>
          <w:highlight w:val="none"/>
        </w:rPr>
        <w:t xml:space="preserve">3.2  </w:t>
      </w:r>
      <w:r>
        <w:rPr>
          <w:rFonts w:hint="eastAsia" w:cs="黑体"/>
          <w:highlight w:val="none"/>
        </w:rPr>
        <w:t>资格审查资料</w:t>
      </w:r>
      <w:bookmarkEnd w:id="64"/>
      <w:bookmarkEnd w:id="65"/>
      <w:bookmarkEnd w:id="66"/>
      <w:bookmarkEnd w:id="67"/>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w:t>
      </w:r>
      <w:r>
        <w:rPr>
          <w:rFonts w:hint="eastAsia" w:ascii="仿宋" w:hAnsi="仿宋" w:eastAsia="仿宋" w:cs="宋体"/>
          <w:kern w:val="0"/>
          <w:sz w:val="24"/>
          <w:highlight w:val="none"/>
        </w:rPr>
        <w:t>“响应人信息”应附</w:t>
      </w:r>
      <w:r>
        <w:rPr>
          <w:rFonts w:ascii="仿宋" w:hAnsi="仿宋" w:eastAsia="仿宋" w:cs="宋体"/>
          <w:kern w:val="0"/>
          <w:sz w:val="24"/>
          <w:highlight w:val="none"/>
        </w:rPr>
        <w:t>谈判</w:t>
      </w:r>
      <w:r>
        <w:rPr>
          <w:rFonts w:hint="eastAsia" w:ascii="仿宋" w:hAnsi="仿宋" w:eastAsia="仿宋" w:cs="宋体"/>
          <w:kern w:val="0"/>
          <w:sz w:val="24"/>
          <w:highlight w:val="none"/>
        </w:rPr>
        <w:t>采购文件所列资格文件复印件，包括响应人营业执照（或事业单位法人证书）副本、</w:t>
      </w:r>
      <w:r>
        <w:rPr>
          <w:rFonts w:ascii="仿宋" w:hAnsi="仿宋" w:eastAsia="仿宋" w:cs="宋体"/>
          <w:kern w:val="0"/>
          <w:sz w:val="24"/>
          <w:highlight w:val="none"/>
        </w:rPr>
        <w:t>资质证书</w:t>
      </w:r>
      <w:r>
        <w:rPr>
          <w:rFonts w:hint="eastAsia" w:ascii="仿宋" w:hAnsi="仿宋" w:eastAsia="仿宋" w:cs="宋体"/>
          <w:kern w:val="0"/>
          <w:sz w:val="24"/>
          <w:highlight w:val="none"/>
        </w:rPr>
        <w:t>（若有）、体系</w:t>
      </w:r>
      <w:r>
        <w:rPr>
          <w:rFonts w:ascii="仿宋" w:hAnsi="仿宋" w:eastAsia="仿宋" w:cs="宋体"/>
          <w:kern w:val="0"/>
          <w:sz w:val="24"/>
          <w:highlight w:val="none"/>
        </w:rPr>
        <w:t>认证</w:t>
      </w:r>
      <w:r>
        <w:rPr>
          <w:rFonts w:hint="eastAsia" w:ascii="仿宋" w:hAnsi="仿宋" w:eastAsia="仿宋" w:cs="宋体"/>
          <w:kern w:val="0"/>
          <w:sz w:val="24"/>
          <w:highlight w:val="none"/>
        </w:rPr>
        <w:t>等材料的复印件。</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（2）</w:t>
      </w:r>
      <w:r>
        <w:rPr>
          <w:rFonts w:hint="eastAsia" w:ascii="仿宋" w:hAnsi="仿宋" w:eastAsia="仿宋" w:cs="宋体"/>
          <w:kern w:val="0"/>
          <w:sz w:val="24"/>
          <w:highlight w:val="none"/>
        </w:rPr>
        <w:t>“近年财务状况表”应附近三年财务会计报表，包括资产负债表、现金流量表、利润表和财务情况说明书且经响应人盖公司章的复印件。</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（3</w:t>
      </w:r>
      <w:r>
        <w:rPr>
          <w:rFonts w:ascii="仿宋" w:hAnsi="仿宋" w:eastAsia="仿宋" w:cs="宋体"/>
          <w:kern w:val="0"/>
          <w:sz w:val="24"/>
          <w:highlight w:val="none"/>
        </w:rPr>
        <w:t>）</w:t>
      </w:r>
      <w:r>
        <w:rPr>
          <w:rFonts w:hint="eastAsia" w:ascii="仿宋" w:hAnsi="仿宋" w:eastAsia="仿宋" w:cs="宋体"/>
          <w:kern w:val="0"/>
          <w:sz w:val="24"/>
          <w:highlight w:val="none"/>
        </w:rPr>
        <w:t>响应人</w:t>
      </w:r>
      <w:r>
        <w:rPr>
          <w:rFonts w:ascii="仿宋" w:hAnsi="仿宋" w:eastAsia="仿宋" w:cs="宋体"/>
          <w:kern w:val="0"/>
          <w:sz w:val="24"/>
          <w:highlight w:val="none"/>
        </w:rPr>
        <w:t>认为有必要提供的其他证明文件。</w:t>
      </w:r>
    </w:p>
    <w:p>
      <w:pPr>
        <w:pStyle w:val="7"/>
        <w:rPr>
          <w:rFonts w:hint="eastAsia"/>
          <w:highlight w:val="none"/>
        </w:rPr>
      </w:pPr>
      <w:bookmarkStart w:id="69" w:name="_Toc514920894"/>
      <w:bookmarkStart w:id="70" w:name="_Toc449101795"/>
      <w:bookmarkStart w:id="71" w:name="_Toc514919744"/>
      <w:bookmarkStart w:id="72" w:name="_Toc58490787"/>
      <w:r>
        <w:rPr>
          <w:highlight w:val="none"/>
        </w:rPr>
        <w:t xml:space="preserve">3.3  </w:t>
      </w:r>
      <w:r>
        <w:rPr>
          <w:rFonts w:hint="eastAsia"/>
          <w:highlight w:val="none"/>
        </w:rPr>
        <w:t>谈判报价</w:t>
      </w:r>
      <w:bookmarkEnd w:id="68"/>
      <w:bookmarkEnd w:id="69"/>
      <w:bookmarkEnd w:id="70"/>
      <w:bookmarkEnd w:id="71"/>
      <w:bookmarkEnd w:id="72"/>
      <w:r>
        <w:rPr>
          <w:highlight w:val="none"/>
        </w:rPr>
        <w:t xml:space="preserve"> </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（1</w:t>
      </w:r>
      <w:r>
        <w:rPr>
          <w:rFonts w:ascii="仿宋" w:hAnsi="仿宋" w:eastAsia="仿宋" w:cs="宋体"/>
          <w:kern w:val="0"/>
          <w:sz w:val="24"/>
          <w:highlight w:val="none"/>
        </w:rPr>
        <w:t>）</w:t>
      </w:r>
      <w:r>
        <w:rPr>
          <w:rFonts w:hint="eastAsia" w:ascii="仿宋" w:hAnsi="仿宋" w:eastAsia="仿宋" w:cs="宋体"/>
          <w:kern w:val="0"/>
          <w:sz w:val="24"/>
          <w:highlight w:val="none"/>
        </w:rPr>
        <w:t>报价是指响应人在正确地完全履行合同义务后采购人应支付给响应人所有的服务价款，即包括货物的技术服务、培训、售后服务、增值税等。</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（2</w:t>
      </w:r>
      <w:r>
        <w:rPr>
          <w:rFonts w:ascii="仿宋" w:hAnsi="仿宋" w:eastAsia="仿宋" w:cs="宋体"/>
          <w:kern w:val="0"/>
          <w:sz w:val="24"/>
          <w:highlight w:val="none"/>
        </w:rPr>
        <w:t>）</w:t>
      </w:r>
      <w:r>
        <w:rPr>
          <w:rFonts w:hint="eastAsia" w:ascii="仿宋" w:hAnsi="仿宋" w:eastAsia="仿宋" w:cs="宋体"/>
          <w:kern w:val="0"/>
          <w:sz w:val="24"/>
          <w:highlight w:val="none"/>
        </w:rPr>
        <w:t>响应人必须按附件的首次报价表、各分项</w:t>
      </w:r>
      <w:r>
        <w:rPr>
          <w:rFonts w:ascii="仿宋" w:hAnsi="仿宋" w:eastAsia="仿宋" w:cs="宋体"/>
          <w:kern w:val="0"/>
          <w:sz w:val="24"/>
          <w:highlight w:val="none"/>
        </w:rPr>
        <w:t>报价表</w:t>
      </w:r>
      <w:r>
        <w:rPr>
          <w:rFonts w:hint="eastAsia" w:ascii="仿宋" w:hAnsi="仿宋" w:eastAsia="仿宋" w:cs="宋体"/>
          <w:kern w:val="0"/>
          <w:sz w:val="24"/>
          <w:highlight w:val="none"/>
        </w:rPr>
        <w:t>的内容填写产品单价、合价及其他事项，并由法定代表人或授权代表签署。</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（3</w:t>
      </w:r>
      <w:r>
        <w:rPr>
          <w:rFonts w:ascii="仿宋" w:hAnsi="仿宋" w:eastAsia="仿宋" w:cs="宋体"/>
          <w:kern w:val="0"/>
          <w:sz w:val="24"/>
          <w:highlight w:val="none"/>
        </w:rPr>
        <w:t>）</w:t>
      </w:r>
      <w:r>
        <w:rPr>
          <w:rFonts w:hint="eastAsia" w:ascii="仿宋" w:hAnsi="仿宋" w:eastAsia="仿宋" w:cs="宋体"/>
          <w:kern w:val="0"/>
          <w:sz w:val="24"/>
          <w:highlight w:val="none"/>
        </w:rPr>
        <w:t>报价货币人民币（国内设备）或美元、欧元（进口设备）。</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（4</w:t>
      </w:r>
      <w:r>
        <w:rPr>
          <w:rFonts w:ascii="仿宋" w:hAnsi="仿宋" w:eastAsia="仿宋" w:cs="宋体"/>
          <w:kern w:val="0"/>
          <w:sz w:val="24"/>
          <w:highlight w:val="none"/>
        </w:rPr>
        <w:t>）</w:t>
      </w:r>
      <w:r>
        <w:rPr>
          <w:rFonts w:hint="eastAsia" w:ascii="仿宋" w:hAnsi="仿宋" w:eastAsia="仿宋" w:cs="宋体"/>
          <w:kern w:val="0"/>
          <w:sz w:val="24"/>
          <w:highlight w:val="none"/>
        </w:rPr>
        <w:t>不接受任何选择报价，对每一种货物只允许一个报价。</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（5）所有响应人的谈判响应最终报价的单价和总价在合同执行过程中是固定不变的。</w:t>
      </w:r>
    </w:p>
    <w:p>
      <w:pPr>
        <w:autoSpaceDE w:val="0"/>
        <w:autoSpaceDN w:val="0"/>
        <w:adjustRightInd w:val="0"/>
        <w:spacing w:line="360" w:lineRule="auto"/>
        <w:ind w:firstLine="482"/>
        <w:rPr>
          <w:rFonts w:hint="eastAsia" w:ascii="仿宋" w:hAnsi="仿宋" w:eastAsia="仿宋" w:cs="仿宋"/>
          <w:sz w:val="24"/>
          <w:szCs w:val="24"/>
          <w:highlight w:val="none"/>
        </w:rPr>
      </w:pPr>
      <w:r>
        <w:rPr>
          <w:rFonts w:hint="eastAsia" w:ascii="仿宋" w:hAnsi="仿宋" w:eastAsia="仿宋"/>
          <w:kern w:val="0"/>
          <w:sz w:val="24"/>
          <w:highlight w:val="none"/>
        </w:rPr>
        <w:t>（</w:t>
      </w:r>
      <w:r>
        <w:rPr>
          <w:rFonts w:ascii="仿宋" w:hAnsi="仿宋" w:eastAsia="仿宋"/>
          <w:kern w:val="0"/>
          <w:sz w:val="24"/>
          <w:highlight w:val="none"/>
        </w:rPr>
        <w:t>6）</w:t>
      </w:r>
      <w:r>
        <w:rPr>
          <w:rFonts w:hint="eastAsia" w:ascii="仿宋" w:hAnsi="仿宋" w:eastAsia="仿宋" w:cs="宋体"/>
          <w:kern w:val="0"/>
          <w:sz w:val="24"/>
          <w:highlight w:val="none"/>
        </w:rPr>
        <w:t>对于响应人为完成采购</w:t>
      </w:r>
      <w:r>
        <w:rPr>
          <w:rFonts w:ascii="仿宋" w:hAnsi="仿宋" w:eastAsia="仿宋" w:cs="宋体"/>
          <w:kern w:val="0"/>
          <w:sz w:val="24"/>
          <w:highlight w:val="none"/>
        </w:rPr>
        <w:t>项目</w:t>
      </w:r>
      <w:r>
        <w:rPr>
          <w:rFonts w:hint="eastAsia" w:ascii="仿宋" w:hAnsi="仿宋" w:eastAsia="仿宋" w:cs="宋体"/>
          <w:kern w:val="0"/>
          <w:sz w:val="24"/>
          <w:highlight w:val="none"/>
        </w:rPr>
        <w:t>所必需却没有单独列项和报价的服务工作内容以及必需配合所产生的费用，以及为完成本合同责任与义务所需的其他所需费用等，采购人均视为已包含在谈判采购响应报价总价中。谈判采购</w:t>
      </w:r>
      <w:r>
        <w:rPr>
          <w:rFonts w:hint="eastAsia" w:ascii="仿宋" w:hAnsi="仿宋" w:eastAsia="仿宋" w:cs="仿宋"/>
          <w:sz w:val="24"/>
          <w:szCs w:val="24"/>
          <w:highlight w:val="none"/>
        </w:rPr>
        <w:t>响应人应充分考虑运保费、施工难度等实际客观因素发生的费用及一定范围风险报价。</w:t>
      </w:r>
    </w:p>
    <w:p>
      <w:pPr>
        <w:autoSpaceDE w:val="0"/>
        <w:autoSpaceDN w:val="0"/>
        <w:adjustRightInd w:val="0"/>
        <w:spacing w:line="36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响应人应在报价方案中明确对本次采购标的物运维期过后的售后服务保障计划（含服务内容、等级、响应时间等）及相关价费用。成交供应商签订合同时，不得以任何理由要求增加合同价格。</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（7）若单价的汇总与总价有差异，则以价格低的为准，并进行相应的修正，但单价小数点有明显错误的除外；若数字和文字表示的金额之间有差异，则以文字表示的大写金额为准，并对数字作相应的修正。</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（8）若在谈判响应报价中同一部分或项目有两个以上的报价且未明确哪个报价有效，较低的报价将被视为有效报价。</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（9）谈判响应人所报的谈判响应价在合同执行过程中是固定不变的，不得以任何理由予以变更。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_GB2312"/>
          <w:bCs/>
          <w:sz w:val="24"/>
          <w:szCs w:val="24"/>
          <w:highlight w:val="none"/>
        </w:rPr>
        <w:t>（10）</w:t>
      </w:r>
      <w:r>
        <w:rPr>
          <w:rFonts w:hint="eastAsia" w:ascii="仿宋" w:hAnsi="仿宋" w:eastAsia="仿宋" w:cs="仿宋"/>
          <w:sz w:val="24"/>
          <w:szCs w:val="24"/>
          <w:highlight w:val="none"/>
        </w:rPr>
        <w:t>本合同价格包括但不限于：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合同系统整体规划设计、平台建设、系统集成、调试、技术服务和维保服务、技术资料、技术支持与培训、现场技术服务费用；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乙方人工费用；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合同系统可能的特许使用费；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对甲方技术人员和操作人员的除住宿、交通费外的全部培训费用；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合同系统在制造、进口、销售、运行各个环节的税收及费用；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乙方的税收、管理费用及其它各项开支；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合同中规定的应由乙方承担的其它费用，以及合同中未明确约定，但系与乙方完成本合同项下义务相关的所有其他费用。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除前述款项外，就乙方完成本合同项下的全部责任和义务，甲方不再向乙方支付任何其它款项和费用。</w:t>
      </w:r>
    </w:p>
    <w:p>
      <w:pPr>
        <w:pStyle w:val="7"/>
        <w:rPr>
          <w:rFonts w:hint="eastAsia"/>
          <w:highlight w:val="none"/>
        </w:rPr>
      </w:pPr>
      <w:bookmarkStart w:id="73" w:name="_Toc444296341"/>
      <w:bookmarkStart w:id="74" w:name="_Toc58490788"/>
      <w:bookmarkStart w:id="75" w:name="_Toc514919745"/>
      <w:bookmarkStart w:id="76" w:name="_Toc514920895"/>
      <w:bookmarkStart w:id="77" w:name="_Toc449101796"/>
      <w:r>
        <w:rPr>
          <w:highlight w:val="none"/>
        </w:rPr>
        <w:t xml:space="preserve">3.4  </w:t>
      </w:r>
      <w:bookmarkEnd w:id="73"/>
      <w:r>
        <w:rPr>
          <w:rFonts w:hint="eastAsia"/>
          <w:highlight w:val="none"/>
        </w:rPr>
        <w:t>谈判报价有效期</w:t>
      </w:r>
      <w:bookmarkEnd w:id="74"/>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3.4.1除响应人须知前附表另有规定外，谈判报价文件有效期为90天。</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3.4.2在谈判报价文件有效期内，响应人撤销响应文件的，应承担采购文件和法律规定的责任。</w:t>
      </w:r>
    </w:p>
    <w:p>
      <w:pPr>
        <w:spacing w:line="360" w:lineRule="auto"/>
        <w:ind w:firstLine="480" w:firstLineChars="200"/>
        <w:rPr>
          <w:highlight w:val="none"/>
        </w:rPr>
      </w:pPr>
      <w:r>
        <w:rPr>
          <w:rFonts w:hint="eastAsia" w:ascii="仿宋" w:hAnsi="仿宋" w:eastAsia="仿宋"/>
          <w:sz w:val="24"/>
          <w:highlight w:val="none"/>
        </w:rPr>
        <w:t>3.4.3出现特殊情况需要延长谈判报价文件有效期的，采购人以书面形式通知所有响应人延长有效期。响应人应予以书面答复。</w:t>
      </w:r>
    </w:p>
    <w:p>
      <w:pPr>
        <w:pStyle w:val="7"/>
        <w:rPr>
          <w:rFonts w:hint="eastAsia"/>
          <w:highlight w:val="none"/>
        </w:rPr>
      </w:pPr>
      <w:bookmarkStart w:id="78" w:name="_Toc58490790"/>
      <w:r>
        <w:rPr>
          <w:rFonts w:hint="eastAsia"/>
          <w:highlight w:val="none"/>
        </w:rPr>
        <w:t>3.5  响应文件</w:t>
      </w:r>
      <w:r>
        <w:rPr>
          <w:highlight w:val="none"/>
        </w:rPr>
        <w:t>说明书及技术资料</w:t>
      </w:r>
      <w:bookmarkEnd w:id="75"/>
      <w:bookmarkEnd w:id="76"/>
      <w:bookmarkEnd w:id="77"/>
      <w:bookmarkEnd w:id="78"/>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响应人应提交证明其有资格参加采购谈判和成交后有能力履行合同的文件，并作为其谈判报价响应文件的一部分。</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w:t>
      </w:r>
      <w:r>
        <w:rPr>
          <w:rFonts w:hint="eastAsia" w:ascii="仿宋" w:hAnsi="仿宋" w:eastAsia="仿宋" w:cs="宋体"/>
          <w:kern w:val="0"/>
          <w:sz w:val="24"/>
          <w:highlight w:val="none"/>
        </w:rPr>
        <w:t>响应人谈判时应提交的符合性证明文件应满足</w:t>
      </w:r>
      <w:r>
        <w:rPr>
          <w:rFonts w:ascii="仿宋" w:hAnsi="仿宋" w:eastAsia="仿宋"/>
          <w:kern w:val="0"/>
          <w:sz w:val="24"/>
          <w:highlight w:val="none"/>
        </w:rPr>
        <w:t>谈判</w:t>
      </w:r>
      <w:r>
        <w:rPr>
          <w:rFonts w:hint="eastAsia" w:ascii="仿宋" w:hAnsi="仿宋" w:eastAsia="仿宋"/>
          <w:kern w:val="0"/>
          <w:sz w:val="24"/>
          <w:highlight w:val="none"/>
        </w:rPr>
        <w:t>采购文件</w:t>
      </w:r>
      <w:r>
        <w:rPr>
          <w:rFonts w:hint="eastAsia" w:ascii="仿宋" w:hAnsi="仿宋" w:eastAsia="仿宋" w:cs="宋体"/>
          <w:kern w:val="0"/>
          <w:sz w:val="24"/>
          <w:highlight w:val="none"/>
        </w:rPr>
        <w:t>要求。</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（2）</w:t>
      </w:r>
      <w:r>
        <w:rPr>
          <w:rFonts w:hint="eastAsia" w:ascii="仿宋" w:hAnsi="仿宋" w:eastAsia="仿宋" w:cs="宋体"/>
          <w:kern w:val="0"/>
          <w:sz w:val="24"/>
          <w:highlight w:val="none"/>
        </w:rPr>
        <w:t>证明服务合格和符合本次</w:t>
      </w:r>
      <w:r>
        <w:rPr>
          <w:rFonts w:ascii="仿宋" w:hAnsi="仿宋" w:eastAsia="仿宋" w:cs="宋体"/>
          <w:kern w:val="0"/>
          <w:sz w:val="24"/>
          <w:highlight w:val="none"/>
        </w:rPr>
        <w:t>谈判</w:t>
      </w:r>
      <w:r>
        <w:rPr>
          <w:rFonts w:hint="eastAsia" w:ascii="仿宋" w:hAnsi="仿宋" w:eastAsia="仿宋" w:cs="宋体"/>
          <w:kern w:val="0"/>
          <w:sz w:val="24"/>
          <w:highlight w:val="none"/>
        </w:rPr>
        <w:t>采购文件规定的文件。这些文件可以是文字资料、图样和数据。</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（3）</w:t>
      </w:r>
      <w:r>
        <w:rPr>
          <w:rFonts w:hint="eastAsia" w:ascii="仿宋" w:hAnsi="仿宋" w:eastAsia="仿宋" w:cs="宋体"/>
          <w:kern w:val="0"/>
          <w:sz w:val="24"/>
          <w:highlight w:val="none"/>
        </w:rPr>
        <w:t>对照本次</w:t>
      </w:r>
      <w:r>
        <w:rPr>
          <w:rFonts w:ascii="仿宋" w:hAnsi="仿宋" w:eastAsia="仿宋" w:cs="宋体"/>
          <w:kern w:val="0"/>
          <w:sz w:val="24"/>
          <w:highlight w:val="none"/>
        </w:rPr>
        <w:t>谈判</w:t>
      </w:r>
      <w:r>
        <w:rPr>
          <w:rFonts w:hint="eastAsia" w:ascii="仿宋" w:hAnsi="仿宋" w:eastAsia="仿宋" w:cs="宋体"/>
          <w:kern w:val="0"/>
          <w:sz w:val="24"/>
          <w:highlight w:val="none"/>
        </w:rPr>
        <w:t>采购文件要求，逐条说明所提供服务已对采购人的要求做了实质性的响应，或申明与技术规格条文的偏差和例外。对于有要求的产品技术，响应人必须提供所投入服务设备的具体参数值。</w:t>
      </w:r>
      <w:r>
        <w:rPr>
          <w:rFonts w:ascii="仿宋" w:hAnsi="仿宋" w:eastAsia="仿宋"/>
          <w:kern w:val="0"/>
          <w:sz w:val="24"/>
          <w:highlight w:val="none"/>
        </w:rPr>
        <w:t xml:space="preserve"> </w:t>
      </w:r>
    </w:p>
    <w:p>
      <w:pPr>
        <w:pStyle w:val="7"/>
        <w:rPr>
          <w:rFonts w:hint="eastAsia"/>
          <w:highlight w:val="none"/>
        </w:rPr>
      </w:pPr>
      <w:bookmarkStart w:id="79" w:name="_Toc444296343"/>
      <w:bookmarkStart w:id="80" w:name="_Toc58490791"/>
      <w:bookmarkStart w:id="81" w:name="_Toc514919746"/>
      <w:bookmarkStart w:id="82" w:name="_Toc449101797"/>
      <w:bookmarkStart w:id="83" w:name="_Toc514920896"/>
      <w:r>
        <w:rPr>
          <w:highlight w:val="none"/>
        </w:rPr>
        <w:t>3.</w:t>
      </w:r>
      <w:r>
        <w:rPr>
          <w:rFonts w:hint="eastAsia"/>
          <w:highlight w:val="none"/>
        </w:rPr>
        <w:t>6</w:t>
      </w:r>
      <w:r>
        <w:rPr>
          <w:highlight w:val="none"/>
        </w:rPr>
        <w:t xml:space="preserve">  </w:t>
      </w:r>
      <w:r>
        <w:rPr>
          <w:rFonts w:hint="eastAsia"/>
          <w:highlight w:val="none"/>
        </w:rPr>
        <w:t>谈判采购响应文件的编制</w:t>
      </w:r>
      <w:bookmarkEnd w:id="79"/>
      <w:r>
        <w:rPr>
          <w:rFonts w:hint="eastAsia"/>
          <w:highlight w:val="none"/>
        </w:rPr>
        <w:t>、装订、密封</w:t>
      </w:r>
      <w:bookmarkEnd w:id="80"/>
      <w:bookmarkEnd w:id="81"/>
      <w:bookmarkEnd w:id="82"/>
      <w:bookmarkEnd w:id="83"/>
      <w:r>
        <w:rPr>
          <w:highlight w:val="none"/>
        </w:rPr>
        <w:t xml:space="preserve"> </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kern w:val="0"/>
          <w:sz w:val="24"/>
          <w:highlight w:val="none"/>
        </w:rPr>
        <w:t>线上投标</w:t>
      </w:r>
      <w:r>
        <w:rPr>
          <w:rFonts w:hint="eastAsia" w:ascii="仿宋" w:hAnsi="仿宋" w:eastAsia="仿宋" w:cs="宋体"/>
          <w:kern w:val="0"/>
          <w:sz w:val="24"/>
          <w:highlight w:val="none"/>
        </w:rPr>
        <w:t>。</w:t>
      </w:r>
    </w:p>
    <w:p>
      <w:pPr>
        <w:pStyle w:val="7"/>
        <w:rPr>
          <w:rFonts w:hint="eastAsia"/>
          <w:highlight w:val="none"/>
        </w:rPr>
      </w:pPr>
      <w:bookmarkStart w:id="84" w:name="_Toc514919747"/>
      <w:bookmarkStart w:id="85" w:name="_Toc514920897"/>
      <w:bookmarkStart w:id="86" w:name="_Toc58490792"/>
      <w:bookmarkStart w:id="87" w:name="_Toc444296344"/>
      <w:bookmarkStart w:id="88" w:name="_Toc449101798"/>
      <w:r>
        <w:rPr>
          <w:highlight w:val="none"/>
        </w:rPr>
        <w:t>3.</w:t>
      </w:r>
      <w:r>
        <w:rPr>
          <w:rFonts w:hint="eastAsia"/>
          <w:highlight w:val="none"/>
        </w:rPr>
        <w:t>7</w:t>
      </w:r>
      <w:r>
        <w:rPr>
          <w:highlight w:val="none"/>
        </w:rPr>
        <w:t xml:space="preserve">  </w:t>
      </w:r>
      <w:r>
        <w:rPr>
          <w:rFonts w:hint="eastAsia" w:cs="宋体"/>
          <w:highlight w:val="none"/>
        </w:rPr>
        <w:t>谈判</w:t>
      </w:r>
      <w:r>
        <w:rPr>
          <w:rFonts w:hint="eastAsia" w:cs="黑体"/>
          <w:highlight w:val="none"/>
        </w:rPr>
        <w:t>响应文件的递交</w:t>
      </w:r>
      <w:bookmarkEnd w:id="84"/>
      <w:bookmarkEnd w:id="85"/>
      <w:bookmarkEnd w:id="86"/>
      <w:bookmarkEnd w:id="87"/>
      <w:bookmarkEnd w:id="88"/>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w:t>
      </w:r>
      <w:r>
        <w:rPr>
          <w:rFonts w:hint="eastAsia" w:ascii="仿宋" w:hAnsi="仿宋" w:eastAsia="仿宋" w:cs="宋体"/>
          <w:kern w:val="0"/>
          <w:sz w:val="24"/>
          <w:highlight w:val="none"/>
        </w:rPr>
        <w:t>响应人应在</w:t>
      </w:r>
      <w:r>
        <w:rPr>
          <w:rFonts w:hint="eastAsia" w:ascii="仿宋" w:hAnsi="仿宋" w:eastAsia="仿宋"/>
          <w:kern w:val="0"/>
          <w:sz w:val="24"/>
          <w:highlight w:val="none"/>
        </w:rPr>
        <w:t>须知</w:t>
      </w:r>
      <w:r>
        <w:rPr>
          <w:rFonts w:ascii="仿宋" w:hAnsi="仿宋" w:eastAsia="仿宋"/>
          <w:kern w:val="0"/>
          <w:sz w:val="24"/>
          <w:highlight w:val="none"/>
        </w:rPr>
        <w:t>前附表</w:t>
      </w:r>
      <w:r>
        <w:rPr>
          <w:rFonts w:hint="eastAsia" w:ascii="仿宋" w:hAnsi="仿宋" w:eastAsia="仿宋"/>
          <w:kern w:val="0"/>
          <w:sz w:val="24"/>
          <w:highlight w:val="none"/>
        </w:rPr>
        <w:t>规定</w:t>
      </w:r>
      <w:r>
        <w:rPr>
          <w:rFonts w:ascii="仿宋" w:hAnsi="仿宋" w:eastAsia="仿宋"/>
          <w:kern w:val="0"/>
          <w:sz w:val="24"/>
          <w:highlight w:val="none"/>
        </w:rPr>
        <w:t>的时间</w:t>
      </w:r>
      <w:r>
        <w:rPr>
          <w:rFonts w:hint="eastAsia" w:ascii="仿宋" w:hAnsi="仿宋" w:eastAsia="仿宋"/>
          <w:kern w:val="0"/>
          <w:sz w:val="24"/>
          <w:highlight w:val="none"/>
        </w:rPr>
        <w:t>和</w:t>
      </w:r>
      <w:r>
        <w:rPr>
          <w:rFonts w:ascii="仿宋" w:hAnsi="仿宋" w:eastAsia="仿宋"/>
          <w:kern w:val="0"/>
          <w:sz w:val="24"/>
          <w:highlight w:val="none"/>
        </w:rPr>
        <w:t>地点</w:t>
      </w:r>
      <w:r>
        <w:rPr>
          <w:rFonts w:hint="eastAsia" w:ascii="仿宋" w:hAnsi="仿宋" w:eastAsia="仿宋" w:cs="宋体"/>
          <w:kern w:val="0"/>
          <w:sz w:val="24"/>
          <w:highlight w:val="none"/>
        </w:rPr>
        <w:t>递交竞争性谈判响应文件。</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w:t>
      </w:r>
      <w:r>
        <w:rPr>
          <w:rFonts w:ascii="仿宋" w:hAnsi="仿宋" w:eastAsia="仿宋"/>
          <w:kern w:val="0"/>
          <w:sz w:val="24"/>
          <w:highlight w:val="none"/>
        </w:rPr>
        <w:t>2</w:t>
      </w:r>
      <w:r>
        <w:rPr>
          <w:rFonts w:hint="eastAsia" w:ascii="仿宋" w:hAnsi="仿宋" w:eastAsia="仿宋"/>
          <w:kern w:val="0"/>
          <w:sz w:val="24"/>
          <w:highlight w:val="none"/>
        </w:rPr>
        <w:t>）</w:t>
      </w:r>
      <w:r>
        <w:rPr>
          <w:rFonts w:hint="eastAsia" w:ascii="仿宋" w:hAnsi="仿宋" w:eastAsia="仿宋" w:cs="宋体"/>
          <w:kern w:val="0"/>
          <w:sz w:val="24"/>
          <w:highlight w:val="none"/>
        </w:rPr>
        <w:t>响应人递交的谈判响应文件不予退还。</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w:t>
      </w:r>
      <w:r>
        <w:rPr>
          <w:rFonts w:ascii="仿宋" w:hAnsi="仿宋" w:eastAsia="仿宋" w:cs="宋体"/>
          <w:kern w:val="0"/>
          <w:sz w:val="24"/>
          <w:highlight w:val="none"/>
        </w:rPr>
        <w:t>3）</w:t>
      </w:r>
      <w:r>
        <w:rPr>
          <w:rFonts w:hint="eastAsia" w:ascii="仿宋" w:hAnsi="仿宋" w:eastAsia="仿宋" w:cs="宋体"/>
          <w:kern w:val="0"/>
          <w:sz w:val="24"/>
          <w:highlight w:val="none"/>
        </w:rPr>
        <w:t>逾期送达的或者未送达指定地点的谈判响应文件以及未按规定密封和标记的谈判响应文件，采购人不予受理。</w:t>
      </w:r>
      <w:r>
        <w:rPr>
          <w:rFonts w:ascii="仿宋" w:hAnsi="仿宋" w:eastAsia="仿宋"/>
          <w:kern w:val="0"/>
          <w:sz w:val="24"/>
          <w:highlight w:val="none"/>
        </w:rPr>
        <w:t xml:space="preserve"> </w:t>
      </w:r>
    </w:p>
    <w:p>
      <w:pPr>
        <w:pStyle w:val="7"/>
        <w:rPr>
          <w:rFonts w:hint="eastAsia"/>
          <w:highlight w:val="none"/>
        </w:rPr>
      </w:pPr>
      <w:bookmarkStart w:id="89" w:name="_Toc514920898"/>
      <w:bookmarkStart w:id="90" w:name="_Toc449101799"/>
      <w:bookmarkStart w:id="91" w:name="_Toc58490793"/>
      <w:bookmarkStart w:id="92" w:name="_Toc444296345"/>
      <w:bookmarkStart w:id="93" w:name="_Toc514919748"/>
      <w:r>
        <w:rPr>
          <w:highlight w:val="none"/>
        </w:rPr>
        <w:t>3.</w:t>
      </w:r>
      <w:r>
        <w:rPr>
          <w:rFonts w:hint="eastAsia"/>
          <w:highlight w:val="none"/>
        </w:rPr>
        <w:t>8</w:t>
      </w:r>
      <w:r>
        <w:rPr>
          <w:highlight w:val="none"/>
        </w:rPr>
        <w:t xml:space="preserve">  </w:t>
      </w:r>
      <w:r>
        <w:rPr>
          <w:rFonts w:hint="eastAsia" w:cs="宋体"/>
          <w:highlight w:val="none"/>
        </w:rPr>
        <w:t>谈判</w:t>
      </w:r>
      <w:r>
        <w:rPr>
          <w:rFonts w:hint="eastAsia"/>
          <w:highlight w:val="none"/>
        </w:rPr>
        <w:t>响应文件的修改和撤回</w:t>
      </w:r>
      <w:bookmarkEnd w:id="89"/>
      <w:bookmarkEnd w:id="90"/>
      <w:bookmarkEnd w:id="91"/>
      <w:bookmarkEnd w:id="92"/>
      <w:bookmarkEnd w:id="93"/>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（1）递交</w:t>
      </w:r>
      <w:r>
        <w:rPr>
          <w:rFonts w:hint="eastAsia" w:ascii="仿宋" w:hAnsi="仿宋" w:eastAsia="仿宋" w:cs="宋体"/>
          <w:kern w:val="0"/>
          <w:sz w:val="24"/>
          <w:highlight w:val="none"/>
        </w:rPr>
        <w:t>谈判响应</w:t>
      </w:r>
      <w:r>
        <w:rPr>
          <w:rFonts w:ascii="仿宋" w:hAnsi="仿宋" w:eastAsia="仿宋" w:cs="宋体"/>
          <w:kern w:val="0"/>
          <w:sz w:val="24"/>
          <w:highlight w:val="none"/>
        </w:rPr>
        <w:t>文件</w:t>
      </w:r>
      <w:r>
        <w:rPr>
          <w:rFonts w:hint="eastAsia" w:ascii="仿宋" w:hAnsi="仿宋" w:eastAsia="仿宋" w:cs="宋体"/>
          <w:kern w:val="0"/>
          <w:sz w:val="24"/>
          <w:highlight w:val="none"/>
        </w:rPr>
        <w:t>截止时间前，响应人可以修正、补充或撤回已送达的谈判响应文件，并注明为修改文件。</w:t>
      </w:r>
      <w:r>
        <w:rPr>
          <w:rFonts w:ascii="仿宋" w:hAnsi="仿宋" w:eastAsia="仿宋"/>
          <w:kern w:val="0"/>
          <w:sz w:val="24"/>
          <w:highlight w:val="none"/>
        </w:rPr>
        <w:t xml:space="preserve"> </w:t>
      </w:r>
    </w:p>
    <w:p>
      <w:pPr>
        <w:pStyle w:val="5"/>
        <w:rPr>
          <w:rFonts w:hint="eastAsia"/>
          <w:highlight w:val="none"/>
        </w:rPr>
      </w:pPr>
      <w:bookmarkStart w:id="94" w:name="_Toc429570971"/>
      <w:bookmarkStart w:id="95" w:name="_Toc434479604"/>
      <w:bookmarkStart w:id="96" w:name="_Toc58490794"/>
      <w:bookmarkStart w:id="97" w:name="_Toc433814081"/>
      <w:bookmarkStart w:id="98" w:name="_Toc431150204"/>
      <w:r>
        <w:rPr>
          <w:highlight w:val="none"/>
        </w:rPr>
        <w:t>4</w:t>
      </w:r>
      <w:r>
        <w:rPr>
          <w:rFonts w:hint="eastAsia"/>
          <w:highlight w:val="none"/>
        </w:rPr>
        <w:t>、</w:t>
      </w:r>
      <w:bookmarkEnd w:id="94"/>
      <w:bookmarkStart w:id="99" w:name="谈判与评审"/>
      <w:r>
        <w:rPr>
          <w:rFonts w:hint="eastAsia"/>
          <w:highlight w:val="none"/>
        </w:rPr>
        <w:t>谈判与评审</w:t>
      </w:r>
      <w:bookmarkEnd w:id="95"/>
      <w:bookmarkEnd w:id="96"/>
      <w:bookmarkEnd w:id="97"/>
      <w:bookmarkEnd w:id="98"/>
      <w:r>
        <w:rPr>
          <w:highlight w:val="none"/>
        </w:rPr>
        <w:t xml:space="preserve"> </w:t>
      </w:r>
      <w:bookmarkEnd w:id="99"/>
    </w:p>
    <w:p>
      <w:pPr>
        <w:pStyle w:val="7"/>
        <w:rPr>
          <w:rFonts w:hint="eastAsia" w:cs="仿宋"/>
          <w:sz w:val="24"/>
          <w:szCs w:val="24"/>
          <w:highlight w:val="none"/>
        </w:rPr>
      </w:pPr>
      <w:bookmarkStart w:id="100" w:name="_Toc514920900"/>
      <w:bookmarkStart w:id="101" w:name="_Toc514919750"/>
      <w:bookmarkStart w:id="102" w:name="_Toc58490795"/>
      <w:bookmarkStart w:id="103" w:name="_Toc444296347"/>
      <w:bookmarkStart w:id="104" w:name="_Toc449101801"/>
      <w:r>
        <w:rPr>
          <w:rFonts w:hint="eastAsia"/>
          <w:highlight w:val="none"/>
        </w:rPr>
        <w:t>4.1  开标</w:t>
      </w:r>
    </w:p>
    <w:bookmarkEnd w:id="100"/>
    <w:bookmarkEnd w:id="101"/>
    <w:bookmarkEnd w:id="102"/>
    <w:bookmarkEnd w:id="103"/>
    <w:bookmarkEnd w:id="104"/>
    <w:p>
      <w:pPr>
        <w:numPr>
          <w:ilvl w:val="2"/>
          <w:numId w:val="4"/>
        </w:numPr>
        <w:spacing w:line="360" w:lineRule="auto"/>
        <w:ind w:left="720" w:hangingChars="300"/>
        <w:rPr>
          <w:rFonts w:hint="eastAsia" w:ascii="仿宋_GB2312" w:hAnsi="宋体" w:eastAsia="仿宋_GB2312"/>
          <w:sz w:val="24"/>
          <w:highlight w:val="none"/>
        </w:rPr>
      </w:pPr>
      <w:bookmarkStart w:id="105" w:name="_Toc514919752"/>
      <w:bookmarkStart w:id="106" w:name="_Toc58490797"/>
      <w:bookmarkStart w:id="107" w:name="_Toc449101803"/>
      <w:bookmarkStart w:id="108" w:name="_Toc514920902"/>
      <w:r>
        <w:rPr>
          <w:rFonts w:hint="eastAsia" w:ascii="仿宋_GB2312" w:hAnsi="宋体" w:eastAsia="仿宋_GB2312"/>
          <w:sz w:val="24"/>
          <w:highlight w:val="none"/>
        </w:rPr>
        <w:t xml:space="preserve">2025年 </w:t>
      </w:r>
      <w:r>
        <w:rPr>
          <w:rFonts w:hint="eastAsia" w:ascii="仿宋_GB2312" w:hAnsi="宋体" w:eastAsia="仿宋_GB2312"/>
          <w:sz w:val="24"/>
          <w:highlight w:val="none"/>
          <w:lang w:val="en-US" w:eastAsia="zh-CN"/>
        </w:rPr>
        <w:t>12</w:t>
      </w:r>
      <w:r>
        <w:rPr>
          <w:rFonts w:hint="eastAsia" w:ascii="仿宋_GB2312" w:hAnsi="宋体" w:eastAsia="仿宋_GB2312"/>
          <w:sz w:val="24"/>
          <w:highlight w:val="none"/>
        </w:rPr>
        <w:t xml:space="preserve">月 </w:t>
      </w:r>
      <w:r>
        <w:rPr>
          <w:rFonts w:hint="eastAsia" w:ascii="仿宋_GB2312" w:hAnsi="宋体" w:eastAsia="仿宋_GB2312"/>
          <w:sz w:val="24"/>
          <w:highlight w:val="none"/>
          <w:lang w:val="en-US" w:eastAsia="zh-CN"/>
        </w:rPr>
        <w:t>10</w:t>
      </w:r>
      <w:r>
        <w:rPr>
          <w:rFonts w:hint="eastAsia" w:ascii="仿宋_GB2312" w:hAnsi="宋体" w:eastAsia="仿宋_GB2312"/>
          <w:sz w:val="24"/>
          <w:highlight w:val="none"/>
        </w:rPr>
        <w:t xml:space="preserve"> 日10:00（北京时间）通过邮箱下载已收到的竞谈响应文件。</w:t>
      </w: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在开标时没有通过邮箱下载的竞谈响应文件(包括修改文件)，在评标时将不予考虑。</w:t>
      </w: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采购人或采购组织机构将做开标记录。</w:t>
      </w:r>
    </w:p>
    <w:p>
      <w:pPr>
        <w:numPr>
          <w:ilvl w:val="1"/>
          <w:numId w:val="4"/>
        </w:numPr>
        <w:spacing w:line="360" w:lineRule="auto"/>
        <w:ind w:left="539" w:hanging="539"/>
        <w:rPr>
          <w:rFonts w:hint="eastAsia" w:ascii="仿宋_GB2312" w:hAnsi="宋体" w:eastAsia="仿宋_GB2312"/>
          <w:sz w:val="24"/>
          <w:highlight w:val="none"/>
        </w:rPr>
      </w:pPr>
      <w:r>
        <w:rPr>
          <w:rFonts w:hint="eastAsia" w:ascii="仿宋_GB2312" w:hAnsi="宋体" w:eastAsia="仿宋_GB2312"/>
          <w:sz w:val="24"/>
          <w:highlight w:val="none"/>
        </w:rPr>
        <w:t xml:space="preserve"> 评标</w:t>
      </w:r>
    </w:p>
    <w:p>
      <w:pPr>
        <w:pStyle w:val="32"/>
        <w:numPr>
          <w:ilvl w:val="1"/>
          <w:numId w:val="5"/>
        </w:numPr>
        <w:spacing w:line="360" w:lineRule="auto"/>
        <w:ind w:firstLineChars="0"/>
        <w:rPr>
          <w:rFonts w:ascii="仿宋_GB2312" w:hAnsi="Franklin Gothic Medium" w:eastAsia="仿宋_GB2312"/>
          <w:vanish/>
          <w:sz w:val="24"/>
          <w:highlight w:val="none"/>
        </w:rPr>
      </w:pP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评标委员会和澄清</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宋体" w:eastAsia="仿宋_GB2312"/>
          <w:sz w:val="24"/>
          <w:highlight w:val="none"/>
        </w:rPr>
        <w:t>采购人</w:t>
      </w:r>
      <w:r>
        <w:rPr>
          <w:rFonts w:hint="eastAsia" w:ascii="仿宋_GB2312" w:hAnsi="Franklin Gothic Medium" w:eastAsia="仿宋_GB2312"/>
          <w:sz w:val="24"/>
          <w:highlight w:val="none"/>
        </w:rPr>
        <w:t>依照有关法规组建评标委员会，进行评标。</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Franklin Gothic Medium" w:eastAsia="仿宋_GB2312"/>
          <w:sz w:val="24"/>
          <w:highlight w:val="none"/>
        </w:rPr>
        <w:t>在评标期间，评标委员会可要求竞谈响应人以线上会议的形式对其竞谈响应文件进行澄清，但不得寻求、提供或允许对竞谈响应价格等实质性内容做任何更改。有关澄清的要求和答复均应以书面形式提交。</w:t>
      </w: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缺项补齐和偏差调整</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Franklin Gothic Medium" w:eastAsia="仿宋_GB2312"/>
          <w:sz w:val="24"/>
          <w:highlight w:val="none"/>
        </w:rPr>
        <w:t>采购人将对竞谈响应文件中的缺项报价进行补齐，方法是将其他竞谈响应人的竞谈响应文件中的相同部分的最高报价视为其报价。对有付款条件偏差的竞谈响应人，评标委员会将考虑</w:t>
      </w:r>
      <w:r>
        <w:rPr>
          <w:rFonts w:hint="eastAsia" w:ascii="仿宋_GB2312" w:hAnsi="宋体" w:eastAsia="仿宋_GB2312"/>
          <w:sz w:val="24"/>
          <w:highlight w:val="none"/>
        </w:rPr>
        <w:t>采购人</w:t>
      </w:r>
      <w:r>
        <w:rPr>
          <w:rFonts w:hint="eastAsia" w:ascii="仿宋_GB2312" w:hAnsi="Franklin Gothic Medium" w:eastAsia="仿宋_GB2312"/>
          <w:sz w:val="24"/>
          <w:highlight w:val="none"/>
        </w:rPr>
        <w:t>为此所承担的风险和增加的成本，并将此成本加到该竞谈响应人的报价中，来计算评标价格。</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宋体" w:eastAsia="仿宋_GB2312"/>
          <w:sz w:val="24"/>
          <w:highlight w:val="none"/>
        </w:rPr>
        <w:t>采购人</w:t>
      </w:r>
      <w:r>
        <w:rPr>
          <w:rFonts w:hint="eastAsia" w:ascii="仿宋_GB2312" w:hAnsi="Franklin Gothic Medium" w:eastAsia="仿宋_GB2312"/>
          <w:sz w:val="24"/>
          <w:highlight w:val="none"/>
        </w:rPr>
        <w:t>将按本竞谈文件规定的方法调整竞谈响应报价，调整后的价格将对竞谈响应人具有约束力。</w:t>
      </w: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与采购人的接触</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Franklin Gothic Medium" w:eastAsia="仿宋_GB2312"/>
          <w:sz w:val="24"/>
          <w:highlight w:val="none"/>
        </w:rPr>
        <w:t>从开标之日起至授予合同期间，竞谈响应人不得就与其竞谈响应有关的事项与采购人和评标委员会接触。</w:t>
      </w:r>
    </w:p>
    <w:p>
      <w:pPr>
        <w:numPr>
          <w:ilvl w:val="3"/>
          <w:numId w:val="4"/>
        </w:numPr>
        <w:spacing w:line="360" w:lineRule="auto"/>
        <w:ind w:left="964" w:hanging="964"/>
        <w:rPr>
          <w:rFonts w:ascii="仿宋_GB2312" w:hAnsi="Franklin Gothic Medium" w:eastAsia="仿宋_GB2312"/>
          <w:sz w:val="24"/>
          <w:highlight w:val="none"/>
        </w:rPr>
      </w:pPr>
      <w:r>
        <w:rPr>
          <w:rFonts w:hint="eastAsia" w:ascii="仿宋_GB2312" w:hAnsi="Franklin Gothic Medium" w:eastAsia="仿宋_GB2312"/>
          <w:sz w:val="24"/>
          <w:highlight w:val="none"/>
        </w:rPr>
        <w:t>竞谈响应人试图对</w:t>
      </w:r>
      <w:r>
        <w:rPr>
          <w:rFonts w:hint="eastAsia" w:ascii="仿宋_GB2312" w:hAnsi="宋体" w:eastAsia="仿宋_GB2312"/>
          <w:sz w:val="24"/>
          <w:highlight w:val="none"/>
        </w:rPr>
        <w:t>采购人</w:t>
      </w:r>
      <w:r>
        <w:rPr>
          <w:rFonts w:hint="eastAsia" w:ascii="仿宋_GB2312" w:hAnsi="Franklin Gothic Medium" w:eastAsia="仿宋_GB2312"/>
          <w:sz w:val="24"/>
          <w:highlight w:val="none"/>
        </w:rPr>
        <w:t>和评标委员会的评标或授予合同的决定进行影响，都可能导致其竞谈响应被拒绝。</w:t>
      </w:r>
    </w:p>
    <w:p>
      <w:pPr>
        <w:numPr>
          <w:ilvl w:val="1"/>
          <w:numId w:val="4"/>
        </w:numPr>
        <w:spacing w:line="360" w:lineRule="auto"/>
        <w:ind w:left="539" w:hanging="539"/>
        <w:rPr>
          <w:rFonts w:hint="eastAsia" w:ascii="仿宋_GB2312" w:hAnsi="宋体" w:eastAsia="仿宋_GB2312"/>
          <w:sz w:val="24"/>
          <w:highlight w:val="none"/>
        </w:rPr>
      </w:pPr>
      <w:bookmarkStart w:id="109" w:name="_Toc530498371"/>
      <w:bookmarkStart w:id="110" w:name="_Toc530292212"/>
      <w:bookmarkStart w:id="111" w:name="_Toc28340706"/>
      <w:r>
        <w:rPr>
          <w:rFonts w:hint="eastAsia" w:ascii="仿宋_GB2312" w:hAnsi="宋体" w:eastAsia="仿宋_GB2312"/>
          <w:sz w:val="24"/>
          <w:highlight w:val="none"/>
        </w:rPr>
        <w:t xml:space="preserve"> 定标</w:t>
      </w:r>
      <w:bookmarkEnd w:id="109"/>
      <w:bookmarkEnd w:id="110"/>
      <w:bookmarkEnd w:id="111"/>
    </w:p>
    <w:p>
      <w:pPr>
        <w:pStyle w:val="32"/>
        <w:numPr>
          <w:ilvl w:val="1"/>
          <w:numId w:val="5"/>
        </w:numPr>
        <w:spacing w:line="360" w:lineRule="auto"/>
        <w:ind w:firstLineChars="0"/>
        <w:rPr>
          <w:rFonts w:ascii="仿宋_GB2312" w:hAnsi="Franklin Gothic Medium" w:eastAsia="仿宋_GB2312"/>
          <w:vanish/>
          <w:sz w:val="24"/>
          <w:highlight w:val="none"/>
        </w:rPr>
      </w:pP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评标委员会根据专家打分表综合排序和评审情况，提交评标报告，报采购人确定。</w:t>
      </w:r>
    </w:p>
    <w:p>
      <w:pPr>
        <w:numPr>
          <w:ilvl w:val="2"/>
          <w:numId w:val="4"/>
        </w:numPr>
        <w:spacing w:line="360" w:lineRule="auto"/>
        <w:ind w:left="720" w:hangingChars="300"/>
        <w:rPr>
          <w:rFonts w:hint="eastAsia" w:ascii="仿宋_GB2312" w:hAnsi="宋体" w:eastAsia="仿宋_GB2312"/>
          <w:sz w:val="24"/>
          <w:highlight w:val="none"/>
        </w:rPr>
      </w:pPr>
      <w:r>
        <w:rPr>
          <w:rFonts w:hint="eastAsia" w:ascii="仿宋_GB2312" w:hAnsi="宋体" w:eastAsia="仿宋_GB2312"/>
          <w:sz w:val="24"/>
          <w:highlight w:val="none"/>
        </w:rPr>
        <w:t>中标候选人不能按照采购人规定的进度，经双方协商后不能达成一致意见，将取消中标候选人资格。</w:t>
      </w:r>
    </w:p>
    <w:p>
      <w:pPr>
        <w:spacing w:line="360"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采购人或采购组织机构保留在授标之前任何时候接受或拒绝任何竞谈响应，以及宣布竞谈程序无效或拒绝所有竞谈响应的权力，对受影响的竞谈响应人不承担任何责任，也无义务向受影响的竞谈响应人解释采取这一行动的理由。</w:t>
      </w:r>
    </w:p>
    <w:p>
      <w:pPr>
        <w:pStyle w:val="7"/>
        <w:rPr>
          <w:rFonts w:hint="eastAsia"/>
          <w:highlight w:val="none"/>
        </w:rPr>
      </w:pPr>
      <w:r>
        <w:rPr>
          <w:rFonts w:hint="eastAsia"/>
          <w:highlight w:val="none"/>
        </w:rPr>
        <w:t>4.</w:t>
      </w:r>
      <w:r>
        <w:rPr>
          <w:highlight w:val="none"/>
        </w:rPr>
        <w:t>4</w:t>
      </w:r>
      <w:r>
        <w:rPr>
          <w:rFonts w:hint="eastAsia"/>
          <w:highlight w:val="none"/>
        </w:rPr>
        <w:t xml:space="preserve"> </w:t>
      </w:r>
      <w:r>
        <w:rPr>
          <w:highlight w:val="none"/>
        </w:rPr>
        <w:t xml:space="preserve"> </w:t>
      </w:r>
      <w:r>
        <w:rPr>
          <w:rFonts w:hint="eastAsia"/>
          <w:highlight w:val="none"/>
        </w:rPr>
        <w:t>谈判记录</w:t>
      </w:r>
      <w:bookmarkEnd w:id="105"/>
      <w:bookmarkEnd w:id="106"/>
      <w:bookmarkEnd w:id="107"/>
      <w:bookmarkEnd w:id="108"/>
    </w:p>
    <w:p>
      <w:pPr>
        <w:spacing w:line="360" w:lineRule="auto"/>
        <w:ind w:firstLine="480" w:firstLineChars="200"/>
        <w:rPr>
          <w:rFonts w:hint="eastAsia" w:ascii="仿宋" w:hAnsi="仿宋" w:eastAsia="仿宋" w:cs="宋体"/>
          <w:bCs/>
          <w:kern w:val="0"/>
          <w:sz w:val="24"/>
          <w:highlight w:val="none"/>
        </w:rPr>
      </w:pPr>
      <w:bookmarkStart w:id="112" w:name="_Toc514919753"/>
      <w:bookmarkStart w:id="113" w:name="_Toc514920903"/>
      <w:bookmarkStart w:id="114" w:name="_Toc449101804"/>
      <w:r>
        <w:rPr>
          <w:rFonts w:hint="eastAsia" w:ascii="仿宋" w:hAnsi="仿宋" w:eastAsia="仿宋" w:cs="宋体"/>
          <w:bCs/>
          <w:kern w:val="0"/>
          <w:sz w:val="24"/>
          <w:highlight w:val="none"/>
        </w:rPr>
        <w:t>（1）谈判小组根据谈判情况和结果，向采购人提交谈判报告。谈判报告由谈判小组组长起草，谈判小组全体成员在谈判报告上签字确认，如有保留意见可以在谈判报告中阐明。</w:t>
      </w:r>
      <w:bookmarkEnd w:id="112"/>
      <w:bookmarkEnd w:id="113"/>
      <w:bookmarkEnd w:id="114"/>
    </w:p>
    <w:p>
      <w:pPr>
        <w:spacing w:line="360" w:lineRule="auto"/>
        <w:ind w:firstLine="480" w:firstLineChars="200"/>
        <w:rPr>
          <w:rFonts w:hint="eastAsia" w:ascii="仿宋" w:hAnsi="仿宋" w:eastAsia="仿宋" w:cs="宋体"/>
          <w:bCs/>
          <w:kern w:val="0"/>
          <w:sz w:val="24"/>
          <w:highlight w:val="none"/>
        </w:rPr>
      </w:pPr>
      <w:bookmarkStart w:id="115" w:name="_Toc514920904"/>
      <w:bookmarkStart w:id="116" w:name="_Toc514919754"/>
      <w:bookmarkStart w:id="117" w:name="_Toc449101805"/>
      <w:r>
        <w:rPr>
          <w:rFonts w:hint="eastAsia" w:ascii="仿宋" w:hAnsi="仿宋" w:eastAsia="仿宋" w:cs="宋体"/>
          <w:bCs/>
          <w:kern w:val="0"/>
          <w:sz w:val="24"/>
          <w:highlight w:val="none"/>
        </w:rPr>
        <w:t>（2）谈判小组在谈判报告中推荐成交候选人。</w:t>
      </w:r>
      <w:bookmarkEnd w:id="115"/>
      <w:bookmarkEnd w:id="116"/>
      <w:bookmarkEnd w:id="117"/>
    </w:p>
    <w:p>
      <w:pPr>
        <w:spacing w:line="360" w:lineRule="auto"/>
        <w:ind w:firstLine="480" w:firstLineChars="200"/>
        <w:rPr>
          <w:rFonts w:hint="eastAsia" w:ascii="仿宋" w:hAnsi="仿宋" w:eastAsia="仿宋" w:cs="宋体"/>
          <w:bCs/>
          <w:kern w:val="0"/>
          <w:sz w:val="24"/>
          <w:highlight w:val="none"/>
        </w:rPr>
      </w:pPr>
      <w:bookmarkStart w:id="118" w:name="_Toc514919755"/>
      <w:bookmarkStart w:id="119" w:name="_Toc514920905"/>
      <w:bookmarkStart w:id="120" w:name="_Toc449101806"/>
      <w:r>
        <w:rPr>
          <w:rFonts w:hint="eastAsia" w:ascii="仿宋" w:hAnsi="仿宋" w:eastAsia="仿宋" w:cs="宋体"/>
          <w:bCs/>
          <w:kern w:val="0"/>
          <w:sz w:val="24"/>
          <w:highlight w:val="none"/>
        </w:rPr>
        <w:t>（3）谈判报告应包括以下内容：</w:t>
      </w:r>
      <w:bookmarkEnd w:id="118"/>
      <w:bookmarkEnd w:id="119"/>
      <w:bookmarkEnd w:id="120"/>
    </w:p>
    <w:p>
      <w:pPr>
        <w:spacing w:line="360" w:lineRule="auto"/>
        <w:ind w:firstLine="480" w:firstLineChars="200"/>
        <w:rPr>
          <w:rFonts w:hint="eastAsia" w:ascii="仿宋" w:hAnsi="仿宋" w:eastAsia="仿宋" w:cs="宋体"/>
          <w:bCs/>
          <w:kern w:val="0"/>
          <w:sz w:val="24"/>
          <w:highlight w:val="none"/>
        </w:rPr>
      </w:pPr>
      <w:r>
        <w:rPr>
          <w:rFonts w:hint="eastAsia" w:ascii="仿宋" w:hAnsi="仿宋" w:eastAsia="仿宋" w:cs="宋体"/>
          <w:bCs/>
          <w:kern w:val="0"/>
          <w:sz w:val="24"/>
          <w:highlight w:val="none"/>
        </w:rPr>
        <w:t>1）符合性评审过程和结果</w:t>
      </w:r>
    </w:p>
    <w:p>
      <w:pPr>
        <w:spacing w:line="360" w:lineRule="auto"/>
        <w:ind w:firstLine="480" w:firstLineChars="200"/>
        <w:rPr>
          <w:rFonts w:hint="eastAsia" w:ascii="仿宋" w:hAnsi="仿宋" w:eastAsia="仿宋" w:cs="宋体"/>
          <w:bCs/>
          <w:kern w:val="0"/>
          <w:sz w:val="24"/>
          <w:highlight w:val="none"/>
        </w:rPr>
      </w:pPr>
      <w:r>
        <w:rPr>
          <w:rFonts w:hint="eastAsia" w:ascii="仿宋" w:hAnsi="仿宋" w:eastAsia="仿宋" w:cs="宋体"/>
          <w:bCs/>
          <w:kern w:val="0"/>
          <w:sz w:val="24"/>
          <w:highlight w:val="none"/>
        </w:rPr>
        <w:t>包括算术错误检查、澄清问题及答复，若有资格不符合应对其情况和依据进行说明；</w:t>
      </w:r>
    </w:p>
    <w:p>
      <w:pPr>
        <w:spacing w:line="360" w:lineRule="auto"/>
        <w:ind w:firstLine="480" w:firstLineChars="200"/>
        <w:rPr>
          <w:rFonts w:hint="eastAsia" w:ascii="仿宋" w:hAnsi="仿宋" w:eastAsia="仿宋" w:cs="宋体"/>
          <w:bCs/>
          <w:kern w:val="0"/>
          <w:sz w:val="24"/>
          <w:highlight w:val="none"/>
        </w:rPr>
      </w:pPr>
      <w:bookmarkStart w:id="121" w:name="_Toc449101807"/>
      <w:bookmarkStart w:id="122" w:name="_Toc514919756"/>
      <w:bookmarkStart w:id="123" w:name="_Toc514920906"/>
      <w:r>
        <w:rPr>
          <w:rFonts w:hint="eastAsia" w:ascii="仿宋" w:hAnsi="仿宋" w:eastAsia="仿宋" w:cs="宋体"/>
          <w:bCs/>
          <w:kern w:val="0"/>
          <w:sz w:val="24"/>
          <w:highlight w:val="none"/>
        </w:rPr>
        <w:t>2）与响应人一对一谈判内容记录；</w:t>
      </w:r>
      <w:bookmarkEnd w:id="121"/>
      <w:bookmarkEnd w:id="122"/>
      <w:bookmarkEnd w:id="123"/>
    </w:p>
    <w:p>
      <w:pPr>
        <w:spacing w:line="360" w:lineRule="auto"/>
        <w:ind w:firstLine="480" w:firstLineChars="200"/>
        <w:rPr>
          <w:rFonts w:hint="eastAsia" w:ascii="仿宋" w:hAnsi="仿宋" w:eastAsia="仿宋" w:cs="宋体"/>
          <w:bCs/>
          <w:kern w:val="0"/>
          <w:sz w:val="24"/>
          <w:highlight w:val="none"/>
        </w:rPr>
      </w:pPr>
      <w:bookmarkStart w:id="124" w:name="_Toc514920908"/>
      <w:bookmarkStart w:id="125" w:name="_Toc449101809"/>
      <w:bookmarkStart w:id="126" w:name="_Toc514919758"/>
      <w:r>
        <w:rPr>
          <w:rFonts w:hint="eastAsia" w:ascii="仿宋" w:hAnsi="仿宋" w:eastAsia="仿宋" w:cs="宋体"/>
          <w:bCs/>
          <w:kern w:val="0"/>
          <w:sz w:val="24"/>
          <w:highlight w:val="none"/>
        </w:rPr>
        <w:t>3）推荐首备选成交供应商。</w:t>
      </w:r>
      <w:bookmarkEnd w:id="124"/>
      <w:bookmarkEnd w:id="125"/>
      <w:bookmarkEnd w:id="126"/>
    </w:p>
    <w:p>
      <w:pPr>
        <w:rPr>
          <w:rFonts w:hint="eastAsia" w:ascii="仿宋" w:hAnsi="仿宋" w:eastAsia="仿宋"/>
          <w:b/>
          <w:kern w:val="0"/>
          <w:sz w:val="28"/>
          <w:szCs w:val="28"/>
          <w:highlight w:val="none"/>
        </w:rPr>
      </w:pPr>
      <w:r>
        <w:rPr>
          <w:rFonts w:hint="eastAsia" w:ascii="仿宋" w:hAnsi="仿宋" w:eastAsia="仿宋"/>
          <w:b/>
          <w:kern w:val="0"/>
          <w:sz w:val="28"/>
          <w:szCs w:val="28"/>
          <w:highlight w:val="none"/>
        </w:rPr>
        <w:t>4.5  废标</w:t>
      </w:r>
    </w:p>
    <w:p>
      <w:pPr>
        <w:spacing w:line="360" w:lineRule="auto"/>
        <w:ind w:left="539"/>
        <w:rPr>
          <w:rFonts w:hint="eastAsia" w:ascii="仿宋_GB2312" w:hAnsi="宋体" w:eastAsia="仿宋_GB2312"/>
          <w:sz w:val="24"/>
          <w:highlight w:val="none"/>
        </w:rPr>
      </w:pPr>
      <w:bookmarkStart w:id="127" w:name="_Toc434479605"/>
      <w:bookmarkStart w:id="128" w:name="_Toc429570972"/>
      <w:bookmarkStart w:id="129" w:name="_Toc433814082"/>
      <w:bookmarkStart w:id="130" w:name="_Toc58490798"/>
      <w:bookmarkStart w:id="131" w:name="_Toc431150205"/>
      <w:r>
        <w:rPr>
          <w:rFonts w:hint="eastAsia" w:ascii="仿宋_GB2312" w:hAnsi="宋体" w:eastAsia="仿宋_GB2312"/>
          <w:sz w:val="24"/>
          <w:highlight w:val="none"/>
        </w:rPr>
        <w:t>发生下列情况之一者，视为废标：</w:t>
      </w:r>
    </w:p>
    <w:p>
      <w:pPr>
        <w:pStyle w:val="32"/>
        <w:numPr>
          <w:ilvl w:val="1"/>
          <w:numId w:val="5"/>
        </w:numPr>
        <w:spacing w:line="360" w:lineRule="auto"/>
        <w:ind w:firstLineChars="0"/>
        <w:rPr>
          <w:rFonts w:ascii="仿宋_GB2312" w:hAnsi="Franklin Gothic Medium" w:eastAsia="仿宋_GB2312"/>
          <w:vanish/>
          <w:sz w:val="24"/>
          <w:highlight w:val="none"/>
        </w:rPr>
      </w:pP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竞谈响应文件未按规定密封和/或竞谈响应文件未按规定加盖公章和签字。</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竞谈响应人提供的证明资料与事实不符。</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经查实不符合对采购人资质规定要求的情况。</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对于采购人对竞谈内容进行拆分，采取分别中标，重新组合的方法不予接受。</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竞谈响应文件未按规定格式、内容填写和/或竞谈响应文件内容与竞谈文件有严重背离（如：付款条件严重偏离竞谈文件的要求）。</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竞谈响应文件含有采购人不能接受的附加条件。</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不符合竞谈文件中规定的其他实质性要求。</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在竞谈响应或评标过程中，竞谈响应人有违纪行为。</w:t>
      </w:r>
    </w:p>
    <w:p>
      <w:pPr>
        <w:numPr>
          <w:ilvl w:val="0"/>
          <w:numId w:val="6"/>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竞谈响应文件中漏报、少报部分报价。</w:t>
      </w:r>
    </w:p>
    <w:p>
      <w:pPr>
        <w:pStyle w:val="5"/>
        <w:rPr>
          <w:rFonts w:hint="eastAsia"/>
          <w:highlight w:val="none"/>
        </w:rPr>
      </w:pPr>
      <w:r>
        <w:rPr>
          <w:highlight w:val="none"/>
        </w:rPr>
        <w:t>5</w:t>
      </w:r>
      <w:r>
        <w:rPr>
          <w:rFonts w:hint="eastAsia"/>
          <w:highlight w:val="none"/>
        </w:rPr>
        <w:t>、</w:t>
      </w:r>
      <w:bookmarkStart w:id="132" w:name="合同授予"/>
      <w:r>
        <w:rPr>
          <w:rFonts w:hint="eastAsia"/>
          <w:highlight w:val="none"/>
        </w:rPr>
        <w:t>合同授予</w:t>
      </w:r>
      <w:bookmarkEnd w:id="127"/>
      <w:bookmarkEnd w:id="128"/>
      <w:bookmarkEnd w:id="129"/>
      <w:bookmarkEnd w:id="130"/>
      <w:bookmarkEnd w:id="131"/>
      <w:r>
        <w:rPr>
          <w:highlight w:val="none"/>
        </w:rPr>
        <w:t xml:space="preserve"> </w:t>
      </w:r>
      <w:bookmarkEnd w:id="132"/>
    </w:p>
    <w:p>
      <w:pPr>
        <w:pStyle w:val="7"/>
        <w:rPr>
          <w:rFonts w:hint="eastAsia"/>
          <w:highlight w:val="none"/>
        </w:rPr>
      </w:pPr>
      <w:bookmarkStart w:id="133" w:name="_Toc514919760"/>
      <w:bookmarkStart w:id="134" w:name="_Toc514920910"/>
      <w:bookmarkStart w:id="135" w:name="_Toc449101811"/>
      <w:bookmarkStart w:id="136" w:name="_Toc444296351"/>
      <w:bookmarkStart w:id="137" w:name="_Toc58490799"/>
      <w:r>
        <w:rPr>
          <w:rFonts w:hint="eastAsia"/>
          <w:highlight w:val="none"/>
        </w:rPr>
        <w:t>5.1  合同授予</w:t>
      </w:r>
      <w:bookmarkEnd w:id="133"/>
      <w:bookmarkEnd w:id="134"/>
      <w:bookmarkEnd w:id="135"/>
      <w:bookmarkEnd w:id="136"/>
      <w:bookmarkEnd w:id="137"/>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采购人将把合同授予符合下述要求的响应人：</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w:t>
      </w:r>
      <w:r>
        <w:rPr>
          <w:rFonts w:hint="eastAsia" w:ascii="仿宋" w:hAnsi="仿宋" w:eastAsia="仿宋" w:cs="宋体"/>
          <w:kern w:val="0"/>
          <w:sz w:val="24"/>
          <w:highlight w:val="none"/>
        </w:rPr>
        <w:t>响应人满足谈判采购文件要求；</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（2）按</w:t>
      </w:r>
      <w:r>
        <w:rPr>
          <w:rFonts w:ascii="仿宋" w:hAnsi="仿宋" w:eastAsia="仿宋"/>
          <w:kern w:val="0"/>
          <w:sz w:val="24"/>
          <w:highlight w:val="none"/>
        </w:rPr>
        <w:t>谈判</w:t>
      </w:r>
      <w:r>
        <w:rPr>
          <w:rFonts w:hint="eastAsia" w:ascii="仿宋" w:hAnsi="仿宋" w:eastAsia="仿宋"/>
          <w:kern w:val="0"/>
          <w:sz w:val="24"/>
          <w:highlight w:val="none"/>
        </w:rPr>
        <w:t>采购</w:t>
      </w:r>
      <w:r>
        <w:rPr>
          <w:rFonts w:ascii="仿宋" w:hAnsi="仿宋" w:eastAsia="仿宋"/>
          <w:kern w:val="0"/>
          <w:sz w:val="24"/>
          <w:highlight w:val="none"/>
        </w:rPr>
        <w:t>文件规定的</w:t>
      </w:r>
      <w:r>
        <w:rPr>
          <w:rFonts w:hint="eastAsia" w:ascii="仿宋" w:hAnsi="仿宋" w:eastAsia="仿宋"/>
          <w:kern w:val="0"/>
          <w:sz w:val="24"/>
          <w:highlight w:val="none"/>
        </w:rPr>
        <w:t>评审</w:t>
      </w:r>
      <w:r>
        <w:rPr>
          <w:rFonts w:ascii="仿宋" w:hAnsi="仿宋" w:eastAsia="仿宋"/>
          <w:kern w:val="0"/>
          <w:sz w:val="24"/>
          <w:highlight w:val="none"/>
        </w:rPr>
        <w:t>办法</w:t>
      </w:r>
      <w:r>
        <w:rPr>
          <w:rFonts w:hint="eastAsia" w:ascii="仿宋" w:hAnsi="仿宋" w:eastAsia="仿宋"/>
          <w:kern w:val="0"/>
          <w:sz w:val="24"/>
          <w:highlight w:val="none"/>
        </w:rPr>
        <w:t>推荐</w:t>
      </w:r>
      <w:r>
        <w:rPr>
          <w:rFonts w:ascii="仿宋" w:hAnsi="仿宋" w:eastAsia="仿宋"/>
          <w:kern w:val="0"/>
          <w:sz w:val="24"/>
          <w:highlight w:val="none"/>
        </w:rPr>
        <w:t>的</w:t>
      </w:r>
      <w:r>
        <w:rPr>
          <w:rFonts w:hint="eastAsia" w:ascii="仿宋" w:hAnsi="仿宋" w:eastAsia="仿宋"/>
          <w:kern w:val="0"/>
          <w:sz w:val="24"/>
          <w:highlight w:val="none"/>
        </w:rPr>
        <w:t>成交候选</w:t>
      </w:r>
      <w:r>
        <w:rPr>
          <w:rFonts w:ascii="仿宋" w:hAnsi="仿宋" w:eastAsia="仿宋"/>
          <w:kern w:val="0"/>
          <w:sz w:val="24"/>
          <w:highlight w:val="none"/>
        </w:rPr>
        <w:t>人。</w:t>
      </w:r>
    </w:p>
    <w:p>
      <w:pPr>
        <w:pStyle w:val="7"/>
        <w:rPr>
          <w:rFonts w:hint="eastAsia"/>
          <w:highlight w:val="none"/>
        </w:rPr>
      </w:pPr>
      <w:bookmarkStart w:id="138" w:name="_Toc444296352"/>
      <w:bookmarkStart w:id="139" w:name="_Toc514920911"/>
      <w:bookmarkStart w:id="140" w:name="_Toc514919761"/>
      <w:bookmarkStart w:id="141" w:name="_Toc58490800"/>
      <w:bookmarkStart w:id="142" w:name="_Toc449101812"/>
      <w:r>
        <w:rPr>
          <w:highlight w:val="none"/>
        </w:rPr>
        <w:t xml:space="preserve">5.2 </w:t>
      </w:r>
      <w:r>
        <w:rPr>
          <w:rFonts w:hint="eastAsia"/>
          <w:highlight w:val="none"/>
        </w:rPr>
        <w:t xml:space="preserve"> 采购人在授标时保留的权利</w:t>
      </w:r>
      <w:bookmarkEnd w:id="138"/>
      <w:bookmarkEnd w:id="139"/>
      <w:bookmarkEnd w:id="140"/>
      <w:bookmarkEnd w:id="141"/>
      <w:bookmarkEnd w:id="142"/>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采购人在授予合同时有权对合同非实质性条款进行增减或变更；</w:t>
      </w:r>
      <w:r>
        <w:rPr>
          <w:rFonts w:ascii="仿宋" w:hAnsi="仿宋" w:eastAsia="仿宋"/>
          <w:kern w:val="0"/>
          <w:sz w:val="24"/>
          <w:highlight w:val="none"/>
        </w:rPr>
        <w:t xml:space="preserve"> </w:t>
      </w:r>
    </w:p>
    <w:p>
      <w:pPr>
        <w:pStyle w:val="7"/>
        <w:rPr>
          <w:rFonts w:hint="eastAsia"/>
          <w:highlight w:val="none"/>
        </w:rPr>
      </w:pPr>
      <w:bookmarkStart w:id="143" w:name="_Toc58490801"/>
      <w:bookmarkStart w:id="144" w:name="_Toc444296353"/>
      <w:bookmarkStart w:id="145" w:name="_Toc514919762"/>
      <w:bookmarkStart w:id="146" w:name="_Toc514920912"/>
      <w:bookmarkStart w:id="147" w:name="_Toc449101813"/>
      <w:r>
        <w:rPr>
          <w:highlight w:val="none"/>
        </w:rPr>
        <w:t xml:space="preserve">5.3 </w:t>
      </w:r>
      <w:r>
        <w:rPr>
          <w:rFonts w:hint="eastAsia"/>
          <w:highlight w:val="none"/>
        </w:rPr>
        <w:t xml:space="preserve"> 合同的签订</w:t>
      </w:r>
      <w:bookmarkEnd w:id="143"/>
      <w:bookmarkEnd w:id="144"/>
      <w:bookmarkEnd w:id="145"/>
      <w:bookmarkEnd w:id="146"/>
      <w:bookmarkEnd w:id="147"/>
      <w:r>
        <w:rPr>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cs="宋体"/>
          <w:kern w:val="0"/>
          <w:sz w:val="24"/>
          <w:highlight w:val="none"/>
        </w:rPr>
        <w:t>采购人与成交人协商签订书面合同；</w:t>
      </w:r>
      <w:r>
        <w:rPr>
          <w:rFonts w:ascii="仿宋" w:hAnsi="仿宋" w:eastAsia="仿宋"/>
          <w:kern w:val="0"/>
          <w:sz w:val="24"/>
          <w:highlight w:val="none"/>
        </w:rPr>
        <w:t xml:space="preserve"> </w:t>
      </w:r>
    </w:p>
    <w:p>
      <w:pPr>
        <w:pStyle w:val="5"/>
        <w:rPr>
          <w:rFonts w:hint="eastAsia"/>
          <w:highlight w:val="none"/>
        </w:rPr>
      </w:pPr>
      <w:bookmarkStart w:id="148" w:name="_Toc433814083"/>
      <w:bookmarkStart w:id="149" w:name="_Toc58490803"/>
      <w:bookmarkStart w:id="150" w:name="_Toc431150206"/>
      <w:bookmarkStart w:id="151" w:name="_Toc429570973"/>
      <w:bookmarkStart w:id="152" w:name="_Toc434479606"/>
      <w:r>
        <w:rPr>
          <w:highlight w:val="none"/>
        </w:rPr>
        <w:t>6</w:t>
      </w:r>
      <w:r>
        <w:rPr>
          <w:rFonts w:hint="eastAsia"/>
          <w:highlight w:val="none"/>
        </w:rPr>
        <w:t>、</w:t>
      </w:r>
      <w:bookmarkStart w:id="153" w:name="纪律和监督"/>
      <w:r>
        <w:rPr>
          <w:rFonts w:hint="eastAsia"/>
          <w:highlight w:val="none"/>
        </w:rPr>
        <w:t>纪律和监督</w:t>
      </w:r>
      <w:bookmarkEnd w:id="148"/>
      <w:bookmarkEnd w:id="149"/>
      <w:bookmarkEnd w:id="150"/>
      <w:bookmarkEnd w:id="151"/>
      <w:bookmarkEnd w:id="152"/>
      <w:r>
        <w:rPr>
          <w:highlight w:val="none"/>
        </w:rPr>
        <w:t xml:space="preserve"> </w:t>
      </w:r>
    </w:p>
    <w:bookmarkEnd w:id="153"/>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（1）</w:t>
      </w:r>
      <w:r>
        <w:rPr>
          <w:rFonts w:hint="eastAsia" w:ascii="仿宋" w:hAnsi="仿宋" w:eastAsia="仿宋" w:cs="宋体"/>
          <w:kern w:val="0"/>
          <w:sz w:val="24"/>
          <w:highlight w:val="none"/>
        </w:rPr>
        <w:t>采购人不得泄漏本次谈判采购工作中应当保密的情况和资料，不得与响应人串通损害国家利益、社会公共利益或者他人合法权益。</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（2</w:t>
      </w:r>
      <w:r>
        <w:rPr>
          <w:rFonts w:ascii="仿宋" w:hAnsi="仿宋" w:eastAsia="仿宋"/>
          <w:kern w:val="0"/>
          <w:sz w:val="24"/>
          <w:highlight w:val="none"/>
        </w:rPr>
        <w:t>）</w:t>
      </w:r>
      <w:r>
        <w:rPr>
          <w:rFonts w:hint="eastAsia" w:ascii="仿宋" w:hAnsi="仿宋" w:eastAsia="仿宋" w:cs="宋体"/>
          <w:kern w:val="0"/>
          <w:sz w:val="24"/>
          <w:highlight w:val="none"/>
        </w:rPr>
        <w:t>响应人不得相互串通谈判或者与采购人串通谈判，不得向采购人或者谈判小组成员行贿谋取成交，不得以他人名义谈判或者以其他方式弄虚作假骗取成交；响应人不得以任何方式干扰、影响评审工作。</w:t>
      </w:r>
      <w:r>
        <w:rPr>
          <w:rFonts w:ascii="仿宋" w:hAnsi="仿宋" w:eastAsia="仿宋"/>
          <w:kern w:val="0"/>
          <w:sz w:val="24"/>
          <w:highlight w:val="none"/>
        </w:rPr>
        <w:t xml:space="preserve"> </w:t>
      </w:r>
    </w:p>
    <w:p>
      <w:pPr>
        <w:autoSpaceDE w:val="0"/>
        <w:autoSpaceDN w:val="0"/>
        <w:adjustRightInd w:val="0"/>
        <w:spacing w:line="360" w:lineRule="auto"/>
        <w:ind w:firstLine="482"/>
        <w:rPr>
          <w:rFonts w:hint="eastAsia" w:ascii="仿宋" w:hAnsi="仿宋" w:eastAsia="仿宋"/>
          <w:kern w:val="0"/>
          <w:sz w:val="24"/>
          <w:highlight w:val="none"/>
        </w:rPr>
      </w:pPr>
      <w:r>
        <w:rPr>
          <w:rFonts w:hint="eastAsia" w:ascii="仿宋" w:hAnsi="仿宋" w:eastAsia="仿宋"/>
          <w:kern w:val="0"/>
          <w:sz w:val="24"/>
          <w:highlight w:val="none"/>
        </w:rPr>
        <w:t>（3</w:t>
      </w:r>
      <w:r>
        <w:rPr>
          <w:rFonts w:ascii="仿宋" w:hAnsi="仿宋" w:eastAsia="仿宋"/>
          <w:kern w:val="0"/>
          <w:sz w:val="24"/>
          <w:highlight w:val="none"/>
        </w:rPr>
        <w:t>）</w:t>
      </w:r>
      <w:r>
        <w:rPr>
          <w:rFonts w:hint="eastAsia" w:ascii="仿宋" w:hAnsi="仿宋" w:eastAsia="仿宋" w:cs="宋体"/>
          <w:kern w:val="0"/>
          <w:sz w:val="24"/>
          <w:highlight w:val="none"/>
        </w:rPr>
        <w:t>谈判小组成员不得收受他人的财物或者其他好处，不得向他人透漏对竞争性谈判响应文件的评审和比较、成交候选人的推荐情况以及评审有关的其他情况。</w:t>
      </w:r>
    </w:p>
    <w:p>
      <w:pPr>
        <w:pStyle w:val="5"/>
        <w:rPr>
          <w:rFonts w:hint="eastAsia"/>
          <w:highlight w:val="none"/>
        </w:rPr>
      </w:pPr>
      <w:r>
        <w:rPr>
          <w:rFonts w:hint="eastAsia"/>
          <w:highlight w:val="none"/>
        </w:rPr>
        <w:t>7、需要补充的其他内容</w:t>
      </w:r>
    </w:p>
    <w:p>
      <w:pPr>
        <w:autoSpaceDE w:val="0"/>
        <w:autoSpaceDN w:val="0"/>
        <w:adjustRightInd w:val="0"/>
        <w:spacing w:line="360" w:lineRule="auto"/>
        <w:ind w:firstLine="482"/>
        <w:rPr>
          <w:rFonts w:hint="eastAsia" w:ascii="仿宋" w:hAnsi="仿宋" w:eastAsia="仿宋"/>
          <w:b/>
          <w:bCs/>
          <w:kern w:val="0"/>
          <w:sz w:val="28"/>
          <w:szCs w:val="28"/>
          <w:highlight w:val="none"/>
        </w:rPr>
      </w:pPr>
      <w:r>
        <w:rPr>
          <w:rFonts w:hint="eastAsia" w:ascii="仿宋" w:hAnsi="仿宋" w:eastAsia="仿宋"/>
          <w:b/>
          <w:bCs/>
          <w:kern w:val="0"/>
          <w:sz w:val="28"/>
          <w:szCs w:val="28"/>
          <w:highlight w:val="none"/>
        </w:rPr>
        <w:t>7.1  低于成本价的处理方式</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7.1.1 评审过程中，谈判响应人报价若低于国家信息价或远低于成本价，可能影响货物质量或者不能诚信履约的，谈判小组将要求其在谈判现场合理的时间内提供书面说明，并提交相关证明材料。</w:t>
      </w:r>
    </w:p>
    <w:p>
      <w:pPr>
        <w:autoSpaceDE w:val="0"/>
        <w:autoSpaceDN w:val="0"/>
        <w:adjustRightInd w:val="0"/>
        <w:spacing w:line="360" w:lineRule="auto"/>
        <w:ind w:firstLine="482"/>
        <w:rPr>
          <w:rFonts w:hint="eastAsia" w:ascii="仿宋" w:hAnsi="仿宋" w:eastAsia="仿宋" w:cs="宋体"/>
          <w:kern w:val="0"/>
          <w:sz w:val="24"/>
          <w:highlight w:val="none"/>
        </w:rPr>
      </w:pPr>
      <w:r>
        <w:rPr>
          <w:rFonts w:hint="eastAsia" w:ascii="仿宋" w:hAnsi="仿宋" w:eastAsia="仿宋" w:cs="宋体"/>
          <w:kern w:val="0"/>
          <w:sz w:val="24"/>
          <w:highlight w:val="none"/>
        </w:rPr>
        <w:t>7.1.2 谈判响应人拒绝或者变相拒绝提供有效书面说明或者书面说明不能证明其报价合理性的或未在规定时间内递交有效书面说明书的，谈判小组将对该响应文件按无效处理。</w:t>
      </w:r>
    </w:p>
    <w:p>
      <w:pPr>
        <w:autoSpaceDE w:val="0"/>
        <w:autoSpaceDN w:val="0"/>
        <w:adjustRightInd w:val="0"/>
        <w:spacing w:line="360" w:lineRule="auto"/>
        <w:ind w:firstLine="482"/>
        <w:rPr>
          <w:rFonts w:hint="eastAsia" w:ascii="仿宋" w:hAnsi="仿宋" w:eastAsia="仿宋"/>
          <w:b/>
          <w:bCs/>
          <w:kern w:val="0"/>
          <w:sz w:val="28"/>
          <w:szCs w:val="28"/>
          <w:highlight w:val="none"/>
        </w:rPr>
      </w:pPr>
      <w:r>
        <w:rPr>
          <w:rFonts w:hint="eastAsia" w:ascii="仿宋" w:hAnsi="仿宋" w:eastAsia="仿宋"/>
          <w:b/>
          <w:bCs/>
          <w:kern w:val="0"/>
          <w:sz w:val="28"/>
          <w:szCs w:val="28"/>
          <w:highlight w:val="none"/>
        </w:rPr>
        <w:t>7.2  成交原则</w:t>
      </w:r>
    </w:p>
    <w:p>
      <w:pPr>
        <w:spacing w:line="360" w:lineRule="auto"/>
        <w:ind w:firstLine="480" w:firstLineChars="200"/>
        <w:rPr>
          <w:rFonts w:hint="eastAsia" w:ascii="仿宋" w:hAnsi="仿宋" w:eastAsia="仿宋"/>
          <w:sz w:val="24"/>
          <w:highlight w:val="none"/>
        </w:rPr>
      </w:pPr>
      <w:r>
        <w:rPr>
          <w:rFonts w:hint="eastAsia" w:ascii="仿宋_GB2312" w:hAnsi="仿宋_GB2312" w:eastAsia="仿宋_GB2312" w:cs="仿宋_GB2312"/>
          <w:kern w:val="0"/>
          <w:sz w:val="24"/>
          <w:szCs w:val="24"/>
          <w:highlight w:val="none"/>
        </w:rPr>
        <w:t>按最终综合评分最高的谈判采购响应人作为成交供应商</w:t>
      </w:r>
      <w:r>
        <w:rPr>
          <w:rFonts w:hint="eastAsia" w:ascii="仿宋" w:hAnsi="仿宋" w:eastAsia="仿宋"/>
          <w:sz w:val="24"/>
          <w:highlight w:val="none"/>
        </w:rPr>
        <w:t>。</w:t>
      </w:r>
    </w:p>
    <w:p>
      <w:pPr>
        <w:autoSpaceDE w:val="0"/>
        <w:autoSpaceDN w:val="0"/>
        <w:adjustRightInd w:val="0"/>
        <w:spacing w:line="360" w:lineRule="auto"/>
        <w:ind w:firstLine="482"/>
        <w:rPr>
          <w:rFonts w:hint="eastAsia" w:ascii="仿宋" w:hAnsi="仿宋" w:eastAsia="仿宋"/>
          <w:b/>
          <w:bCs/>
          <w:kern w:val="0"/>
          <w:sz w:val="28"/>
          <w:szCs w:val="28"/>
          <w:highlight w:val="none"/>
        </w:rPr>
      </w:pPr>
      <w:r>
        <w:rPr>
          <w:rFonts w:hint="eastAsia" w:ascii="仿宋" w:hAnsi="仿宋" w:eastAsia="仿宋"/>
          <w:b/>
          <w:bCs/>
          <w:kern w:val="0"/>
          <w:sz w:val="28"/>
          <w:szCs w:val="28"/>
          <w:highlight w:val="none"/>
        </w:rPr>
        <w:t>7.3  其他约定</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kern w:val="0"/>
          <w:sz w:val="24"/>
          <w:szCs w:val="22"/>
          <w:highlight w:val="none"/>
        </w:rPr>
      </w:pPr>
      <w:r>
        <w:rPr>
          <w:rFonts w:hint="eastAsia" w:ascii="仿宋" w:hAnsi="仿宋" w:eastAsia="仿宋"/>
          <w:kern w:val="0"/>
          <w:sz w:val="24"/>
          <w:szCs w:val="22"/>
          <w:highlight w:val="none"/>
        </w:rPr>
        <w:t xml:space="preserve">7.3.1在产品购销合同签订的同时供需双方应签订保廉合同。                                  </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kern w:val="0"/>
          <w:sz w:val="24"/>
          <w:szCs w:val="22"/>
          <w:highlight w:val="none"/>
        </w:rPr>
      </w:pPr>
      <w:r>
        <w:rPr>
          <w:rFonts w:hint="eastAsia" w:ascii="仿宋" w:hAnsi="仿宋" w:eastAsia="仿宋"/>
          <w:kern w:val="0"/>
          <w:sz w:val="24"/>
          <w:szCs w:val="22"/>
          <w:highlight w:val="none"/>
        </w:rPr>
        <w:t>7.3.2报价文件、成交通知书、履约保函、保廉合同都是本合同的组成部分，具有同等法律效力。</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kern w:val="0"/>
          <w:sz w:val="24"/>
          <w:szCs w:val="22"/>
          <w:highlight w:val="none"/>
        </w:rPr>
      </w:pPr>
      <w:r>
        <w:rPr>
          <w:rFonts w:hint="eastAsia" w:ascii="仿宋" w:hAnsi="仿宋" w:eastAsia="仿宋"/>
          <w:kern w:val="0"/>
          <w:sz w:val="24"/>
          <w:szCs w:val="22"/>
          <w:highlight w:val="none"/>
        </w:rPr>
        <w:t>7.3.3本次采购的主要付款方式为：</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bookmarkStart w:id="154" w:name="第四章"/>
      <w:bookmarkEnd w:id="154"/>
      <w:bookmarkStart w:id="155" w:name="_Hlk56155314"/>
      <w:r>
        <w:rPr>
          <w:rFonts w:hint="eastAsia" w:ascii="仿宋" w:hAnsi="仿宋" w:eastAsia="仿宋" w:cs="Times New Roman"/>
          <w:bCs/>
          <w:kern w:val="0"/>
          <w:sz w:val="24"/>
          <w:szCs w:val="22"/>
          <w:highlight w:val="none"/>
        </w:rPr>
        <w:t>7.3.3.1完成合同签订后，乙方完成项目实施准备工作，乙方将下列材料提供给甲方，甲方审核无误后在10个工作日内支付乙方合同总额的30%。</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(1)甲乙双方授权代表确认的需求确认单。</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(2)金额为合同总额30%的国家认可的税率为6%的增值税专用发票</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7.3.3.2乙方实现合同中规定的应用场景开发，并完成甲方提出的特定应用场景的无人机控制平台开发需求，在规定时间内上线后，乙方将下列材料提供给甲方，甲方审核无误后在10个工作日内支付乙方合同总额的60%。</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(1)甲乙双方授权代表确认的完工证明文件。</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(2)金额为合同总额60%的国家认可的税率为6%的增值税专用发票</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7.3.3.3平台开发上线三个月后，没有质量问题，并通过平台验收，乙方将下列材料提供给甲方，甲方审核无误后在10个工作日内支付乙方合同总额的10%。</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rPr>
      </w:pPr>
      <w:r>
        <w:rPr>
          <w:rFonts w:hint="eastAsia" w:ascii="仿宋" w:hAnsi="仿宋" w:eastAsia="仿宋" w:cs="Times New Roman"/>
          <w:bCs/>
          <w:kern w:val="0"/>
          <w:sz w:val="24"/>
          <w:szCs w:val="22"/>
          <w:highlight w:val="none"/>
        </w:rPr>
        <w:t>(1)甲乙双方授权代表确认的项目验收合格的证明文件。</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Times New Roman"/>
          <w:bCs/>
          <w:kern w:val="0"/>
          <w:sz w:val="24"/>
          <w:szCs w:val="22"/>
          <w:highlight w:val="none"/>
          <w:lang w:eastAsia="zh-CN"/>
        </w:rPr>
      </w:pPr>
      <w:r>
        <w:rPr>
          <w:rFonts w:hint="eastAsia" w:ascii="仿宋" w:hAnsi="仿宋" w:eastAsia="仿宋" w:cs="Times New Roman"/>
          <w:bCs/>
          <w:kern w:val="0"/>
          <w:sz w:val="24"/>
          <w:szCs w:val="22"/>
          <w:highlight w:val="none"/>
        </w:rPr>
        <w:t>(2)金额为合同总额的10%的国家认可的税率为 6%的增值税专用发票金额为合同总额60 %的国家认可的税率为6%的增值税专用发票</w:t>
      </w:r>
      <w:r>
        <w:rPr>
          <w:rFonts w:hint="eastAsia" w:ascii="仿宋" w:hAnsi="仿宋" w:eastAsia="仿宋" w:cs="Times New Roman"/>
          <w:bCs/>
          <w:kern w:val="0"/>
          <w:sz w:val="24"/>
          <w:szCs w:val="22"/>
          <w:highlight w:val="none"/>
          <w:lang w:eastAsia="zh-CN"/>
        </w:rPr>
        <w:t>。</w:t>
      </w:r>
    </w:p>
    <w:p>
      <w:pPr>
        <w:pStyle w:val="13"/>
        <w:adjustRightInd w:val="0"/>
        <w:spacing w:before="156" w:beforeLines="50" w:after="100" w:afterAutospacing="1" w:line="360" w:lineRule="auto"/>
        <w:ind w:left="0" w:leftChars="0" w:firstLine="480" w:firstLineChars="200"/>
        <w:contextualSpacing/>
        <w:textAlignment w:val="baseline"/>
        <w:rPr>
          <w:rFonts w:hint="eastAsia" w:ascii="仿宋" w:hAnsi="仿宋" w:eastAsia="仿宋" w:cs="仿宋"/>
          <w:sz w:val="24"/>
          <w:szCs w:val="24"/>
          <w:highlight w:val="none"/>
        </w:rPr>
      </w:pPr>
    </w:p>
    <w:p>
      <w:pPr>
        <w:pStyle w:val="13"/>
        <w:spacing w:before="156" w:beforeLines="50" w:after="100" w:afterAutospacing="1" w:line="360" w:lineRule="auto"/>
        <w:ind w:left="0" w:leftChars="0" w:firstLine="480" w:firstLineChars="200"/>
        <w:contextualSpacing/>
        <w:rPr>
          <w:rFonts w:hint="eastAsia" w:ascii="仿宋_GB2312" w:hAnsi="仿宋_GB2312" w:eastAsia="仿宋_GB2312" w:cs="仿宋_GB2312"/>
          <w:sz w:val="24"/>
          <w:szCs w:val="24"/>
          <w:highlight w:val="none"/>
        </w:rPr>
      </w:pPr>
    </w:p>
    <w:p>
      <w:pPr>
        <w:spacing w:line="360" w:lineRule="auto"/>
        <w:rPr>
          <w:rFonts w:hint="eastAsia" w:ascii="仿宋" w:hAnsi="仿宋" w:eastAsia="仿宋" w:cs="宋体"/>
          <w:bCs/>
          <w:kern w:val="0"/>
          <w:sz w:val="24"/>
          <w:highlight w:val="none"/>
        </w:rPr>
      </w:pPr>
      <w:r>
        <w:rPr>
          <w:rFonts w:ascii="仿宋" w:hAnsi="仿宋" w:eastAsia="仿宋" w:cs="宋体"/>
          <w:bCs/>
          <w:kern w:val="0"/>
          <w:sz w:val="24"/>
          <w:highlight w:val="none"/>
        </w:rPr>
        <w:br w:type="page"/>
      </w:r>
    </w:p>
    <w:p>
      <w:pPr>
        <w:rPr>
          <w:highlight w:val="none"/>
        </w:rPr>
        <w:sectPr>
          <w:footerReference r:id="rId7" w:type="default"/>
          <w:pgSz w:w="11906" w:h="16838"/>
          <w:pgMar w:top="1701" w:right="1418" w:bottom="1418" w:left="1418" w:header="851" w:footer="992" w:gutter="0"/>
          <w:pgNumType w:start="1"/>
          <w:cols w:space="720" w:num="1"/>
          <w:docGrid w:type="lines" w:linePitch="312" w:charSpace="0"/>
        </w:sectPr>
      </w:pPr>
    </w:p>
    <w:p>
      <w:pPr>
        <w:pStyle w:val="4"/>
        <w:rPr>
          <w:rFonts w:hint="eastAsia"/>
          <w:highlight w:val="none"/>
        </w:rPr>
      </w:pPr>
      <w:bookmarkStart w:id="156" w:name="_Toc58490805"/>
      <w:bookmarkStart w:id="157" w:name="_Toc443895460"/>
      <w:bookmarkStart w:id="158" w:name="_Toc17100"/>
      <w:r>
        <w:rPr>
          <w:rFonts w:hint="eastAsia"/>
          <w:highlight w:val="none"/>
        </w:rPr>
        <w:t>第三章  评审办法</w:t>
      </w:r>
      <w:bookmarkEnd w:id="156"/>
    </w:p>
    <w:p>
      <w:pPr>
        <w:tabs>
          <w:tab w:val="left" w:pos="6237"/>
        </w:tabs>
        <w:spacing w:line="360" w:lineRule="auto"/>
        <w:ind w:firstLine="480" w:firstLineChars="200"/>
        <w:rPr>
          <w:rFonts w:hint="eastAsia" w:asciiTheme="minorEastAsia" w:hAnsiTheme="minorEastAsia" w:eastAsiaTheme="minorEastAsia"/>
          <w:bCs/>
          <w:sz w:val="36"/>
          <w:szCs w:val="36"/>
          <w:highlight w:val="none"/>
        </w:rPr>
      </w:pPr>
      <w:r>
        <w:rPr>
          <w:rFonts w:hint="eastAsia" w:ascii="仿宋_GB2312" w:hAnsi="仿宋_GB2312" w:eastAsia="仿宋_GB2312" w:cs="仿宋_GB2312"/>
          <w:bCs/>
          <w:kern w:val="0"/>
          <w:sz w:val="24"/>
          <w:highlight w:val="none"/>
        </w:rPr>
        <w:t>本次评选采用综合评分法，总分为100分。其中商务资信15分，价格30分，技术</w:t>
      </w:r>
      <w:r>
        <w:rPr>
          <w:rFonts w:hint="eastAsia" w:ascii="仿宋" w:hAnsi="仿宋" w:eastAsia="仿宋" w:cs="仿宋"/>
          <w:bCs/>
          <w:kern w:val="0"/>
          <w:sz w:val="24"/>
          <w:highlight w:val="none"/>
        </w:rPr>
        <w:t>50分，现场服务5分。</w:t>
      </w:r>
      <w:r>
        <w:rPr>
          <w:rFonts w:hint="eastAsia" w:ascii="仿宋_GB2312" w:hAnsi="仿宋_GB2312" w:eastAsia="仿宋_GB2312" w:cs="仿宋_GB2312"/>
          <w:bCs/>
          <w:kern w:val="0"/>
          <w:sz w:val="24"/>
          <w:highlight w:val="none"/>
        </w:rPr>
        <w:t>排名第一的竞谈响应人为中选候选人，排名第二的竞谈响应人为候补中选候选人。评分过程中采用四舍五入法，并保留小数2位。</w:t>
      </w:r>
    </w:p>
    <w:p>
      <w:pPr>
        <w:tabs>
          <w:tab w:val="left" w:pos="6237"/>
        </w:tabs>
        <w:jc w:val="center"/>
        <w:rPr>
          <w:rFonts w:hint="eastAsia" w:ascii="仿宋_GB2312" w:hAnsi="仿宋_GB2312" w:eastAsia="仿宋_GB2312" w:cs="仿宋_GB2312"/>
          <w:bCs/>
          <w:kern w:val="0"/>
          <w:sz w:val="32"/>
          <w:szCs w:val="28"/>
          <w:highlight w:val="none"/>
        </w:rPr>
      </w:pPr>
      <w:r>
        <w:rPr>
          <w:rFonts w:hint="eastAsia" w:ascii="仿宋_GB2312" w:hAnsi="仿宋_GB2312" w:eastAsia="仿宋_GB2312" w:cs="仿宋_GB2312"/>
          <w:bCs/>
          <w:kern w:val="0"/>
          <w:sz w:val="32"/>
          <w:szCs w:val="28"/>
          <w:highlight w:val="none"/>
        </w:rPr>
        <w:t>评分表</w:t>
      </w:r>
    </w:p>
    <w:p>
      <w:pPr>
        <w:tabs>
          <w:tab w:val="left" w:pos="6237"/>
        </w:tabs>
        <w:rPr>
          <w:rFonts w:hint="eastAsia" w:ascii="仿宋_GB2312" w:hAnsi="仿宋_GB2312" w:eastAsia="仿宋_GB2312" w:cs="仿宋_GB2312"/>
          <w:bCs/>
          <w:kern w:val="0"/>
          <w:sz w:val="24"/>
          <w:highlight w:val="none"/>
        </w:rPr>
      </w:pPr>
      <w:r>
        <w:rPr>
          <w:rFonts w:hint="eastAsia" w:ascii="仿宋_GB2312" w:hAnsi="仿宋_GB2312" w:eastAsia="仿宋_GB2312" w:cs="仿宋_GB2312"/>
          <w:bCs/>
          <w:kern w:val="0"/>
          <w:sz w:val="24"/>
          <w:highlight w:val="none"/>
        </w:rPr>
        <w:t xml:space="preserve">                                                                                                         </w:t>
      </w:r>
    </w:p>
    <w:bookmarkEnd w:id="155"/>
    <w:bookmarkEnd w:id="157"/>
    <w:bookmarkEnd w:id="158"/>
    <w:tbl>
      <w:tblPr>
        <w:tblStyle w:val="20"/>
        <w:tblW w:w="9082" w:type="dxa"/>
        <w:tblInd w:w="93" w:type="dxa"/>
        <w:tblLayout w:type="autofit"/>
        <w:tblCellMar>
          <w:top w:w="0" w:type="dxa"/>
          <w:left w:w="108" w:type="dxa"/>
          <w:bottom w:w="0" w:type="dxa"/>
          <w:right w:w="108" w:type="dxa"/>
        </w:tblCellMar>
      </w:tblPr>
      <w:tblGrid>
        <w:gridCol w:w="727"/>
        <w:gridCol w:w="1556"/>
        <w:gridCol w:w="709"/>
        <w:gridCol w:w="6090"/>
      </w:tblGrid>
      <w:tr>
        <w:tblPrEx>
          <w:tblCellMar>
            <w:top w:w="0" w:type="dxa"/>
            <w:left w:w="108" w:type="dxa"/>
            <w:bottom w:w="0" w:type="dxa"/>
            <w:right w:w="108" w:type="dxa"/>
          </w:tblCellMar>
        </w:tblPrEx>
        <w:trPr>
          <w:trHeight w:val="347" w:hRule="atLeast"/>
        </w:trPr>
        <w:tc>
          <w:tcPr>
            <w:tcW w:w="72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bookmarkStart w:id="159" w:name="_Toc58490806"/>
            <w:r>
              <w:rPr>
                <w:rFonts w:hint="eastAsia" w:ascii="仿宋" w:hAnsi="仿宋" w:eastAsia="仿宋" w:cs="仿宋"/>
                <w:highlight w:val="none"/>
              </w:rPr>
              <w:t>序号</w:t>
            </w:r>
          </w:p>
        </w:tc>
        <w:tc>
          <w:tcPr>
            <w:tcW w:w="1556"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评分内容</w:t>
            </w:r>
          </w:p>
        </w:tc>
        <w:tc>
          <w:tcPr>
            <w:tcW w:w="70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分值</w:t>
            </w:r>
          </w:p>
        </w:tc>
        <w:tc>
          <w:tcPr>
            <w:tcW w:w="6090"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细则内容</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一、报价部分评分（30分）</w:t>
            </w:r>
          </w:p>
        </w:tc>
      </w:tr>
      <w:tr>
        <w:tblPrEx>
          <w:tblCellMar>
            <w:top w:w="0" w:type="dxa"/>
            <w:left w:w="108" w:type="dxa"/>
            <w:bottom w:w="0" w:type="dxa"/>
            <w:right w:w="108" w:type="dxa"/>
          </w:tblCellMar>
        </w:tblPrEx>
        <w:trPr>
          <w:trHeight w:val="1544" w:hRule="atLeast"/>
        </w:trPr>
        <w:tc>
          <w:tcPr>
            <w:tcW w:w="727"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1556"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参选报价</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30</w:t>
            </w: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报价评审应以报价口径范围一致的评标价为依据。评标价应在最终报价的基础上，按照竞谈文件约定的因素和方法进行计算。凡属竞谈文件的原因造成报价口径范围不一致的，应调整竞谈响应人报价，但因竞谈响应人自身失误造成多算、少算、漏算的，不得调整。</w:t>
            </w:r>
          </w:p>
        </w:tc>
      </w:tr>
      <w:tr>
        <w:tblPrEx>
          <w:tblCellMar>
            <w:top w:w="0" w:type="dxa"/>
            <w:left w:w="108" w:type="dxa"/>
            <w:bottom w:w="0" w:type="dxa"/>
            <w:right w:w="108" w:type="dxa"/>
          </w:tblCellMar>
        </w:tblPrEx>
        <w:trPr>
          <w:trHeight w:val="3000"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一、评标基准价确定：</w:t>
            </w:r>
          </w:p>
          <w:p>
            <w:pPr>
              <w:spacing w:line="440" w:lineRule="exact"/>
              <w:jc w:val="left"/>
              <w:rPr>
                <w:rFonts w:hint="eastAsia" w:ascii="仿宋" w:hAnsi="仿宋" w:eastAsia="仿宋" w:cs="仿宋"/>
                <w:highlight w:val="none"/>
              </w:rPr>
            </w:pPr>
            <w:r>
              <w:rPr>
                <w:rFonts w:hint="eastAsia" w:ascii="Times New Roman" w:hAnsi="Times New Roman" w:eastAsia="仿宋_GB2312" w:cs="Times New Roman"/>
                <w:highlight w:val="none"/>
              </w:rPr>
              <w:t>评标基准价=有效投标人的评标价格（不含税）的算术平均值。</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二、得分：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1、评标价等于评标基准价的，得满分。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2、偏离评标基准价的，按偏离评标基准价百分比扣分；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3、本项最低得分10分；计算公式：30-（|投标报价-评标基准价|/评标基准价）*100</w:t>
            </w:r>
          </w:p>
        </w:tc>
      </w:tr>
      <w:tr>
        <w:tblPrEx>
          <w:tblCellMar>
            <w:top w:w="0" w:type="dxa"/>
            <w:left w:w="108" w:type="dxa"/>
            <w:bottom w:w="0" w:type="dxa"/>
            <w:right w:w="108" w:type="dxa"/>
          </w:tblCellMar>
        </w:tblPrEx>
        <w:trPr>
          <w:trHeight w:val="1463"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6090" w:type="dxa"/>
            <w:tcBorders>
              <w:top w:val="nil"/>
              <w:left w:val="nil"/>
              <w:bottom w:val="nil"/>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响应人报价若低于其他有效响应人报价算术平均价的60%，可能影响系统质量或者不能诚信履约的，谈判小组将要求其在谈判现场合理的时间内提供书面说明，并提交相关证明材料。</w:t>
            </w:r>
          </w:p>
        </w:tc>
      </w:tr>
      <w:tr>
        <w:tblPrEx>
          <w:tblCellMar>
            <w:top w:w="0" w:type="dxa"/>
            <w:left w:w="108" w:type="dxa"/>
            <w:bottom w:w="0" w:type="dxa"/>
            <w:right w:w="108" w:type="dxa"/>
          </w:tblCellMar>
        </w:tblPrEx>
        <w:trPr>
          <w:trHeight w:val="347" w:hRule="atLeast"/>
        </w:trPr>
        <w:tc>
          <w:tcPr>
            <w:tcW w:w="727"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1556"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响应人拒绝或者变相拒绝提供有效书面说明或者书面说明不能证明其报价合理性的或未在规定时间内递交有效书面说明书的，谈判小组将对该响应文件按无效处理。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二、商务资信评分（15分）</w:t>
            </w:r>
          </w:p>
        </w:tc>
      </w:tr>
      <w:tr>
        <w:tblPrEx>
          <w:tblCellMar>
            <w:top w:w="0" w:type="dxa"/>
            <w:left w:w="108" w:type="dxa"/>
            <w:bottom w:w="0" w:type="dxa"/>
            <w:right w:w="108" w:type="dxa"/>
          </w:tblCellMar>
        </w:tblPrEx>
        <w:trPr>
          <w:trHeight w:val="108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lang w:val="en-US" w:eastAsia="zh-CN"/>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业绩情况</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6</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投标人自2020年1月1日以来承担过（以合同签订时间为准）无人机平台相关业绩，金额100万以上每个业绩得1分（最高2分），金额600万以上每个业绩得2分（最高4分），金额800万以上每个业绩得3分(最高6分)，每个项目不重复计分，本项最高</w:t>
            </w:r>
            <w:r>
              <w:rPr>
                <w:rFonts w:hint="eastAsia" w:ascii="仿宋" w:hAnsi="仿宋" w:eastAsia="仿宋" w:cs="仿宋"/>
                <w:highlight w:val="none"/>
                <w:lang w:val="en-US" w:eastAsia="zh-CN"/>
              </w:rPr>
              <w:t>6</w:t>
            </w:r>
            <w:r>
              <w:rPr>
                <w:rFonts w:hint="eastAsia" w:ascii="仿宋" w:hAnsi="仿宋" w:eastAsia="仿宋" w:cs="仿宋"/>
                <w:highlight w:val="none"/>
              </w:rPr>
              <w:t>分。（提供项目合同复印件，未按要求提供的不得分）</w:t>
            </w:r>
          </w:p>
        </w:tc>
      </w:tr>
      <w:tr>
        <w:tblPrEx>
          <w:tblCellMar>
            <w:top w:w="0" w:type="dxa"/>
            <w:left w:w="108" w:type="dxa"/>
            <w:bottom w:w="0" w:type="dxa"/>
            <w:right w:w="108" w:type="dxa"/>
          </w:tblCellMar>
        </w:tblPrEx>
        <w:trPr>
          <w:trHeight w:val="656"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lang w:val="en-US" w:eastAsia="zh-CN"/>
              </w:rPr>
              <w:t>2</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认证证书</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6</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投标人具有ISO56002创新管理体系证书得1分；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具有ISO27032网络安全管理体系证书得1分；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具有ISO</w:t>
            </w:r>
            <w:r>
              <w:rPr>
                <w:rFonts w:hint="eastAsia" w:eastAsia="仿宋"/>
                <w:highlight w:val="none"/>
              </w:rPr>
              <w:t xml:space="preserve"> </w:t>
            </w:r>
            <w:r>
              <w:rPr>
                <w:rFonts w:hint="eastAsia" w:ascii="仿宋" w:hAnsi="仿宋" w:eastAsia="仿宋" w:cs="仿宋"/>
                <w:highlight w:val="none"/>
              </w:rPr>
              <w:t>9001质量管理体系认证证书得1分；</w:t>
            </w:r>
          </w:p>
          <w:p>
            <w:pPr>
              <w:spacing w:line="440" w:lineRule="exact"/>
              <w:jc w:val="left"/>
              <w:rPr>
                <w:rFonts w:ascii="仿宋" w:hAnsi="仿宋" w:eastAsia="仿宋" w:cs="仿宋"/>
                <w:highlight w:val="none"/>
              </w:rPr>
            </w:pPr>
            <w:r>
              <w:rPr>
                <w:rFonts w:hint="eastAsia" w:ascii="仿宋" w:hAnsi="仿宋" w:eastAsia="仿宋" w:cs="仿宋"/>
                <w:highlight w:val="none"/>
              </w:rPr>
              <w:t>具有ISO</w:t>
            </w:r>
            <w:r>
              <w:rPr>
                <w:rFonts w:hint="eastAsia" w:eastAsia="仿宋"/>
                <w:highlight w:val="none"/>
              </w:rPr>
              <w:t xml:space="preserve"> </w:t>
            </w:r>
            <w:r>
              <w:rPr>
                <w:rFonts w:hint="eastAsia" w:ascii="仿宋" w:hAnsi="仿宋" w:eastAsia="仿宋" w:cs="仿宋"/>
                <w:highlight w:val="none"/>
              </w:rPr>
              <w:t>27001信息安全管理体系认证证书得1分；</w:t>
            </w:r>
          </w:p>
          <w:p>
            <w:pPr>
              <w:spacing w:line="440" w:lineRule="exact"/>
              <w:jc w:val="left"/>
              <w:rPr>
                <w:rFonts w:hint="eastAsia" w:ascii="仿宋" w:hAnsi="仿宋" w:eastAsia="仿宋" w:cs="仿宋"/>
                <w:highlight w:val="none"/>
              </w:rPr>
            </w:pPr>
            <w:r>
              <w:rPr>
                <w:rFonts w:hint="eastAsia" w:ascii="仿宋" w:hAnsi="仿宋" w:eastAsia="仿宋" w:cs="仿宋"/>
                <w:highlight w:val="none"/>
              </w:rPr>
              <w:t>具有SDCA软件服务商交付能力评估（一级）资质证书得1分；具有ISO</w:t>
            </w:r>
            <w:r>
              <w:rPr>
                <w:rFonts w:hint="eastAsia" w:eastAsia="仿宋"/>
                <w:highlight w:val="none"/>
              </w:rPr>
              <w:t xml:space="preserve"> </w:t>
            </w:r>
            <w:r>
              <w:rPr>
                <w:rFonts w:hint="eastAsia" w:ascii="仿宋" w:hAnsi="仿宋" w:eastAsia="仿宋" w:cs="仿宋"/>
                <w:highlight w:val="none"/>
              </w:rPr>
              <w:t>20000信息技术服务管理体系认证证书得1分；以上证书不提供不得分。</w:t>
            </w:r>
          </w:p>
        </w:tc>
      </w:tr>
      <w:tr>
        <w:tblPrEx>
          <w:tblCellMar>
            <w:top w:w="0" w:type="dxa"/>
            <w:left w:w="108" w:type="dxa"/>
            <w:bottom w:w="0" w:type="dxa"/>
            <w:right w:w="108" w:type="dxa"/>
          </w:tblCellMar>
        </w:tblPrEx>
        <w:trPr>
          <w:trHeight w:val="656"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软件著作权</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投标人提供低空无人机飞行服务管控平台类、无人机感知监测类、无人机控制监视平台类</w:t>
            </w:r>
            <w:r>
              <w:rPr>
                <w:rFonts w:hint="eastAsia" w:ascii="仿宋" w:hAnsi="仿宋" w:eastAsia="仿宋" w:cs="仿宋"/>
                <w:highlight w:val="none"/>
                <w:lang w:val="en-US" w:eastAsia="zh-CN"/>
              </w:rPr>
              <w:t>等</w:t>
            </w:r>
            <w:r>
              <w:rPr>
                <w:rFonts w:hint="eastAsia" w:ascii="仿宋" w:hAnsi="仿宋" w:eastAsia="仿宋" w:cs="仿宋"/>
                <w:highlight w:val="none"/>
              </w:rPr>
              <w:t>软件著作权或专利证书，每1类得1分，满分3分。</w:t>
            </w:r>
          </w:p>
        </w:tc>
      </w:tr>
      <w:tr>
        <w:tblPrEx>
          <w:tblCellMar>
            <w:top w:w="0" w:type="dxa"/>
            <w:left w:w="108" w:type="dxa"/>
            <w:bottom w:w="0" w:type="dxa"/>
            <w:right w:w="108" w:type="dxa"/>
          </w:tblCellMar>
        </w:tblPrEx>
        <w:trPr>
          <w:trHeight w:val="347" w:hRule="atLeast"/>
        </w:trPr>
        <w:tc>
          <w:tcPr>
            <w:tcW w:w="2992" w:type="dxa"/>
            <w:gridSpan w:val="3"/>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小计（分）</w:t>
            </w:r>
          </w:p>
        </w:tc>
        <w:tc>
          <w:tcPr>
            <w:tcW w:w="6090"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三、技术部分评分（50分）</w:t>
            </w:r>
          </w:p>
        </w:tc>
      </w:tr>
      <w:tr>
        <w:trPr>
          <w:trHeight w:val="90"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_GB2312" w:hAnsi="仿宋_GB2312" w:eastAsia="仿宋_GB2312"/>
                <w:highlight w:val="none"/>
              </w:rPr>
              <w:t>平台建设方案</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_GB2312" w:hAnsi="仿宋_GB2312" w:eastAsia="仿宋_GB2312"/>
                <w:highlight w:val="none"/>
              </w:rPr>
              <w:t>20</w:t>
            </w:r>
          </w:p>
        </w:tc>
        <w:tc>
          <w:tcPr>
            <w:tcW w:w="6090"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方案设计的合理性、技术的先进性、稳定性、安全性、实际应用规模、对用户需求的理解程度等方面进行横向对比酌情打分：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a. 对需求的理解程度深刻、预见的难点符合本项目情况且处理办法有针对性、分析全面的得</w:t>
            </w:r>
            <w:r>
              <w:rPr>
                <w:rFonts w:hint="eastAsia" w:ascii="仿宋" w:hAnsi="仿宋" w:eastAsia="仿宋" w:cs="仿宋"/>
                <w:highlight w:val="none"/>
              </w:rPr>
              <w:t>[</w:t>
            </w:r>
            <w:r>
              <w:rPr>
                <w:rFonts w:hint="eastAsia" w:ascii="仿宋_GB2312" w:hAnsi="仿宋_GB2312" w:eastAsia="仿宋_GB2312"/>
                <w:highlight w:val="none"/>
              </w:rPr>
              <w:t>14-20]分；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b. 对需求的理解程度较深刻、预见的难点基本符合本项目情况且处理办法较有针对性、分析较全面的得</w:t>
            </w:r>
            <w:r>
              <w:rPr>
                <w:rFonts w:hint="eastAsia" w:ascii="仿宋" w:hAnsi="仿宋" w:eastAsia="仿宋" w:cs="仿宋"/>
                <w:highlight w:val="none"/>
              </w:rPr>
              <w:t>[</w:t>
            </w:r>
            <w:r>
              <w:rPr>
                <w:rFonts w:hint="eastAsia" w:ascii="仿宋_GB2312" w:hAnsi="仿宋_GB2312" w:eastAsia="仿宋_GB2312"/>
                <w:highlight w:val="none"/>
              </w:rPr>
              <w:t>8-13]分；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c．对需求的理解程度一般、预见的难点不符合本项目实际情况且处理办法没有针对性的得[0-7]分。</w:t>
            </w:r>
          </w:p>
          <w:p>
            <w:pPr>
              <w:spacing w:line="440" w:lineRule="exact"/>
              <w:jc w:val="center"/>
              <w:rPr>
                <w:rFonts w:hint="eastAsia" w:ascii="仿宋" w:hAnsi="仿宋" w:eastAsia="仿宋" w:cs="仿宋"/>
                <w:highlight w:val="none"/>
              </w:rPr>
            </w:pPr>
            <w:r>
              <w:rPr>
                <w:rFonts w:hint="eastAsia" w:ascii="仿宋_GB2312" w:hAnsi="仿宋_GB2312" w:eastAsia="仿宋_GB2312"/>
                <w:highlight w:val="none"/>
              </w:rPr>
              <w:t>注：不同投标人可被列为同一档次评分。</w:t>
            </w:r>
          </w:p>
        </w:tc>
      </w:tr>
      <w:tr>
        <w:tblPrEx>
          <w:tblCellMar>
            <w:top w:w="0" w:type="dxa"/>
            <w:left w:w="108" w:type="dxa"/>
            <w:bottom w:w="0" w:type="dxa"/>
            <w:right w:w="108" w:type="dxa"/>
          </w:tblCellMar>
        </w:tblPrEx>
        <w:trPr>
          <w:trHeight w:val="68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_GB2312" w:hAnsi="仿宋_GB2312" w:eastAsia="仿宋_GB2312"/>
                <w:highlight w:val="none"/>
              </w:rPr>
              <w:t>项目人员配置</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_GB2312" w:hAnsi="仿宋_GB2312" w:eastAsia="仿宋_GB2312"/>
                <w:highlight w:val="none"/>
              </w:rPr>
              <w:t>6</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_GB2312" w:hAnsi="仿宋_GB2312" w:eastAsia="仿宋_GB2312"/>
                <w:highlight w:val="none"/>
              </w:rPr>
            </w:pPr>
            <w:r>
              <w:rPr>
                <w:rFonts w:hint="eastAsia" w:ascii="仿宋_GB2312" w:hAnsi="仿宋_GB2312" w:eastAsia="仿宋_GB2312"/>
                <w:highlight w:val="none"/>
              </w:rPr>
              <w:t>1、拟担任项目组负责人具有高级工程师职称证书</w:t>
            </w:r>
            <w:r>
              <w:rPr>
                <w:rFonts w:hint="eastAsia" w:ascii="仿宋_GB2312" w:hAnsi="仿宋_GB2312" w:eastAsia="仿宋_GB2312"/>
                <w:highlight w:val="none"/>
                <w:lang w:val="en-US" w:eastAsia="zh-CN"/>
              </w:rPr>
              <w:t>或</w:t>
            </w:r>
            <w:r>
              <w:rPr>
                <w:rFonts w:hint="eastAsia" w:ascii="仿宋_GB2312" w:hAnsi="仿宋_GB2312" w:eastAsia="仿宋_GB2312"/>
                <w:highlight w:val="none"/>
              </w:rPr>
              <w:t>信息系统项目管理师证书（高级）。缺少证书不得分，本项满分2分。</w:t>
            </w:r>
          </w:p>
          <w:p>
            <w:pPr>
              <w:spacing w:line="440" w:lineRule="exact"/>
              <w:jc w:val="left"/>
              <w:rPr>
                <w:rFonts w:hint="eastAsia" w:ascii="仿宋_GB2312" w:hAnsi="仿宋_GB2312" w:eastAsia="仿宋_GB2312"/>
                <w:highlight w:val="none"/>
              </w:rPr>
            </w:pPr>
            <w:r>
              <w:rPr>
                <w:rFonts w:hint="eastAsia" w:ascii="仿宋_GB2312" w:hAnsi="仿宋_GB2312" w:eastAsia="仿宋_GB2312"/>
                <w:highlight w:val="none"/>
              </w:rPr>
              <w:t>2、拟派本项目技术负责人具备系统架构设计师（高级）</w:t>
            </w:r>
            <w:r>
              <w:rPr>
                <w:rFonts w:hint="eastAsia" w:ascii="仿宋_GB2312" w:hAnsi="仿宋_GB2312" w:eastAsia="仿宋_GB2312"/>
                <w:highlight w:val="none"/>
                <w:lang w:val="en-US" w:eastAsia="zh-CN"/>
              </w:rPr>
              <w:t>或</w:t>
            </w:r>
            <w:r>
              <w:rPr>
                <w:rFonts w:hint="eastAsia" w:ascii="仿宋_GB2312" w:hAnsi="仿宋_GB2312" w:eastAsia="仿宋_GB2312"/>
                <w:highlight w:val="none"/>
              </w:rPr>
              <w:t>数据库系统工程师（中级）、软件设计师（中级）。缺少证书不得分，本项满分2分。</w:t>
            </w:r>
          </w:p>
          <w:p>
            <w:pPr>
              <w:spacing w:line="440" w:lineRule="exact"/>
              <w:jc w:val="left"/>
              <w:rPr>
                <w:rFonts w:hint="eastAsia" w:ascii="仿宋" w:hAnsi="仿宋" w:eastAsia="仿宋" w:cs="仿宋"/>
                <w:highlight w:val="none"/>
              </w:rPr>
            </w:pPr>
            <w:r>
              <w:rPr>
                <w:rFonts w:hint="eastAsia" w:ascii="仿宋_GB2312" w:hAnsi="仿宋_GB2312" w:eastAsia="仿宋_GB2312"/>
                <w:highlight w:val="none"/>
              </w:rPr>
              <w:t>3、拟派项目团队人员（除项目负责人和技术负责人外）具有5人及以上信息系统项目管理师（高级）得0.5分，具有5人及以上高级工程师的得1分,具有2人及以上CISAW信息安全保障人员证书得0.5分，同一人员不能重复得分，本项满分2分。（提供对应人员相关证书复印件、在投标人单位缴纳的近连续三个月社保证明复印件并加盖公章，不提供不得分）</w:t>
            </w:r>
          </w:p>
        </w:tc>
      </w:tr>
      <w:tr>
        <w:tblPrEx>
          <w:tblCellMar>
            <w:top w:w="0" w:type="dxa"/>
            <w:left w:w="108" w:type="dxa"/>
            <w:bottom w:w="0" w:type="dxa"/>
            <w:right w:w="108" w:type="dxa"/>
          </w:tblCellMar>
        </w:tblPrEx>
        <w:trPr>
          <w:trHeight w:val="1650" w:hRule="atLeast"/>
        </w:trPr>
        <w:tc>
          <w:tcPr>
            <w:tcW w:w="72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1556"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组织实施方案</w:t>
            </w:r>
          </w:p>
        </w:tc>
        <w:tc>
          <w:tcPr>
            <w:tcW w:w="709"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9</w:t>
            </w:r>
          </w:p>
        </w:tc>
        <w:tc>
          <w:tcPr>
            <w:tcW w:w="6090" w:type="dxa"/>
            <w:tcBorders>
              <w:top w:val="single" w:color="000000" w:sz="8" w:space="0"/>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竞谈响应人须提供组织实施方案，包括试运行、测试等内容，以及组织机构、工作时间进度表、工作程序和步骤、管理和协调方法、关键步骤的思路和要点、项目风险应对等，根据竞谈响应人组织实施方案的科学性、合理性、可操作性情况进行打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a. 组织实施方案全面、内容科学合理、可操作性强的得</w:t>
            </w:r>
            <w:r>
              <w:rPr>
                <w:rFonts w:hint="eastAsia" w:ascii="仿宋" w:hAnsi="仿宋" w:eastAsia="仿宋" w:cs="仿宋"/>
                <w:highlight w:val="none"/>
              </w:rPr>
              <w:t>[</w:t>
            </w:r>
            <w:r>
              <w:rPr>
                <w:rFonts w:hint="eastAsia" w:ascii="仿宋_GB2312" w:hAnsi="仿宋_GB2312" w:eastAsia="仿宋_GB2312"/>
                <w:highlight w:val="none"/>
              </w:rPr>
              <w:t>7,9]分；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b. 组织实施方案全面、内容较合理、基本可操作的得</w:t>
            </w:r>
            <w:r>
              <w:rPr>
                <w:rFonts w:hint="eastAsia" w:ascii="仿宋" w:hAnsi="仿宋" w:eastAsia="仿宋" w:cs="仿宋"/>
                <w:highlight w:val="none"/>
              </w:rPr>
              <w:t>[</w:t>
            </w:r>
            <w:r>
              <w:rPr>
                <w:rFonts w:hint="eastAsia" w:ascii="仿宋_GB2312" w:hAnsi="仿宋_GB2312" w:eastAsia="仿宋_GB2312"/>
                <w:highlight w:val="none"/>
              </w:rPr>
              <w:t>4,7]分；</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 xml:space="preserve">c．组织实施方案内容不完整、逻辑性差、可操作性一般的得[0,3]分。 </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4</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工期安排及</w:t>
            </w:r>
            <w:r>
              <w:rPr>
                <w:rFonts w:hint="eastAsia" w:ascii="仿宋_GB2312" w:hAnsi="仿宋_GB2312" w:eastAsia="仿宋_GB2312"/>
                <w:highlight w:val="none"/>
                <w:lang w:val="en-US" w:eastAsia="zh-CN"/>
              </w:rPr>
              <w:t>开发</w:t>
            </w:r>
            <w:r>
              <w:rPr>
                <w:rFonts w:hint="eastAsia" w:ascii="仿宋_GB2312" w:hAnsi="仿宋_GB2312" w:eastAsia="仿宋_GB2312"/>
                <w:highlight w:val="none"/>
              </w:rPr>
              <w:t>质量保证</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7</w:t>
            </w:r>
          </w:p>
        </w:tc>
        <w:tc>
          <w:tcPr>
            <w:tcW w:w="6090"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根据竞谈响应人针对项目实际情况安排合理进度工期及做出</w:t>
            </w:r>
            <w:r>
              <w:rPr>
                <w:rFonts w:hint="eastAsia" w:ascii="仿宋_GB2312" w:hAnsi="仿宋_GB2312" w:eastAsia="仿宋_GB2312"/>
                <w:highlight w:val="none"/>
                <w:lang w:val="en-US" w:eastAsia="zh-CN"/>
              </w:rPr>
              <w:t>系统开发</w:t>
            </w:r>
            <w:r>
              <w:rPr>
                <w:rFonts w:hint="eastAsia" w:ascii="仿宋_GB2312" w:hAnsi="仿宋_GB2312" w:eastAsia="仿宋_GB2312"/>
                <w:highlight w:val="none"/>
              </w:rPr>
              <w:t>质量保证进行打分。时限合理、保障措施齐全、到位的得</w:t>
            </w:r>
            <w:r>
              <w:rPr>
                <w:rFonts w:hint="eastAsia" w:ascii="仿宋" w:hAnsi="仿宋" w:eastAsia="仿宋" w:cs="仿宋"/>
                <w:highlight w:val="none"/>
              </w:rPr>
              <w:t>[</w:t>
            </w:r>
            <w:r>
              <w:rPr>
                <w:rFonts w:hint="eastAsia" w:ascii="仿宋_GB2312" w:hAnsi="仿宋_GB2312" w:eastAsia="仿宋_GB2312"/>
                <w:highlight w:val="none"/>
              </w:rPr>
              <w:t>6,7]分，时限合理、保障措施一般的得</w:t>
            </w:r>
            <w:r>
              <w:rPr>
                <w:rFonts w:hint="eastAsia" w:ascii="仿宋" w:hAnsi="仿宋" w:eastAsia="仿宋" w:cs="仿宋"/>
                <w:highlight w:val="none"/>
              </w:rPr>
              <w:t>[</w:t>
            </w:r>
            <w:r>
              <w:rPr>
                <w:rFonts w:hint="eastAsia" w:ascii="仿宋_GB2312" w:hAnsi="仿宋_GB2312" w:eastAsia="仿宋_GB2312"/>
                <w:highlight w:val="none"/>
              </w:rPr>
              <w:t>3,5]分，时限不合理或保障措施较差的得</w:t>
            </w:r>
            <w:r>
              <w:rPr>
                <w:rFonts w:hint="eastAsia" w:ascii="仿宋" w:hAnsi="仿宋" w:eastAsia="仿宋" w:cs="仿宋"/>
                <w:highlight w:val="none"/>
              </w:rPr>
              <w:t>[</w:t>
            </w:r>
            <w:r>
              <w:rPr>
                <w:rFonts w:hint="eastAsia" w:ascii="仿宋_GB2312" w:hAnsi="仿宋_GB2312" w:eastAsia="仿宋_GB2312"/>
                <w:highlight w:val="none"/>
              </w:rPr>
              <w:t xml:space="preserve">0,2]分，未提供相关内容得0分。 </w:t>
            </w:r>
          </w:p>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注：不同竞谈响应人可被列入同一档次评分。</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5</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项目建设合理性意见</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3</w:t>
            </w:r>
          </w:p>
        </w:tc>
        <w:tc>
          <w:tcPr>
            <w:tcW w:w="6090"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竞谈响应人根据对项目的理解给出合理性意见；1条合理性意见得1分，满分3分。</w:t>
            </w:r>
          </w:p>
        </w:tc>
      </w:tr>
      <w:tr>
        <w:tblPrEx>
          <w:tblCellMar>
            <w:top w:w="0" w:type="dxa"/>
            <w:left w:w="108" w:type="dxa"/>
            <w:bottom w:w="0" w:type="dxa"/>
            <w:right w:w="108" w:type="dxa"/>
          </w:tblCellMar>
        </w:tblPrEx>
        <w:trPr>
          <w:trHeight w:val="934"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应急服务方案</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_GB2312" w:hAnsi="仿宋_GB2312" w:eastAsia="仿宋_GB2312"/>
                <w:highlight w:val="none"/>
              </w:rPr>
            </w:pPr>
            <w:r>
              <w:rPr>
                <w:rFonts w:hint="eastAsia" w:ascii="仿宋_GB2312" w:hAnsi="仿宋_GB2312" w:eastAsia="仿宋_GB2312"/>
                <w:highlight w:val="none"/>
              </w:rPr>
              <w:t>5</w:t>
            </w:r>
          </w:p>
        </w:tc>
        <w:tc>
          <w:tcPr>
            <w:tcW w:w="6090" w:type="dxa"/>
            <w:tcBorders>
              <w:top w:val="nil"/>
              <w:left w:val="nil"/>
              <w:bottom w:val="single" w:color="000000" w:sz="8" w:space="0"/>
              <w:right w:val="single" w:color="000000" w:sz="8" w:space="0"/>
            </w:tcBorders>
            <w:vAlign w:val="center"/>
          </w:tcPr>
          <w:p>
            <w:pPr>
              <w:spacing w:line="440" w:lineRule="exact"/>
              <w:jc w:val="both"/>
              <w:rPr>
                <w:rFonts w:hint="eastAsia" w:ascii="仿宋_GB2312" w:hAnsi="仿宋_GB2312" w:eastAsia="仿宋_GB2312"/>
                <w:highlight w:val="none"/>
              </w:rPr>
            </w:pPr>
            <w:r>
              <w:rPr>
                <w:rFonts w:hint="eastAsia" w:ascii="仿宋_GB2312" w:hAnsi="仿宋_GB2312" w:eastAsia="仿宋_GB2312"/>
                <w:highlight w:val="none"/>
              </w:rPr>
              <w:t>根据投标人的应急服务方案进行打分，最高得5分。方案全面详尽，符合实际情况的得5分；方案基本全面，基本符合实际情况的得[3-4]分；方案不全面或不符合实际情况的得[1-2]分；未提供相关内容得0分。</w:t>
            </w:r>
          </w:p>
        </w:tc>
      </w:tr>
      <w:tr>
        <w:tblPrEx>
          <w:tblCellMar>
            <w:top w:w="0" w:type="dxa"/>
            <w:left w:w="108" w:type="dxa"/>
            <w:bottom w:w="0" w:type="dxa"/>
            <w:right w:w="108" w:type="dxa"/>
          </w:tblCellMar>
        </w:tblPrEx>
        <w:trPr>
          <w:trHeight w:val="347" w:hRule="atLeast"/>
        </w:trPr>
        <w:tc>
          <w:tcPr>
            <w:tcW w:w="9082" w:type="dxa"/>
            <w:gridSpan w:val="4"/>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四、现场服务部分评分（5分）</w:t>
            </w:r>
          </w:p>
        </w:tc>
      </w:tr>
      <w:tr>
        <w:tblPrEx>
          <w:tblCellMar>
            <w:top w:w="0" w:type="dxa"/>
            <w:left w:w="108" w:type="dxa"/>
            <w:bottom w:w="0" w:type="dxa"/>
            <w:right w:w="108" w:type="dxa"/>
          </w:tblCellMar>
        </w:tblPrEx>
        <w:trPr>
          <w:trHeight w:val="1239" w:hRule="atLeast"/>
        </w:trPr>
        <w:tc>
          <w:tcPr>
            <w:tcW w:w="727" w:type="dxa"/>
            <w:tcBorders>
              <w:top w:val="nil"/>
              <w:left w:val="single" w:color="000000" w:sz="8" w:space="0"/>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1556"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培训方案</w:t>
            </w:r>
          </w:p>
        </w:tc>
        <w:tc>
          <w:tcPr>
            <w:tcW w:w="709" w:type="dxa"/>
            <w:tcBorders>
              <w:top w:val="nil"/>
              <w:left w:val="nil"/>
              <w:bottom w:val="single" w:color="000000" w:sz="8"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6090" w:type="dxa"/>
            <w:tcBorders>
              <w:top w:val="nil"/>
              <w:left w:val="nil"/>
              <w:bottom w:val="single" w:color="000000" w:sz="8"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根据竞谈响应人提供的培训方案（包括培训目标、培训时间、培训地点、培训内容等）的完整性及合理性进行打分。培训方案优秀的得[2]分；方案一般的得[1]分；方案较差的得[0]分。</w:t>
            </w:r>
          </w:p>
        </w:tc>
      </w:tr>
      <w:tr>
        <w:tblPrEx>
          <w:tblCellMar>
            <w:top w:w="0" w:type="dxa"/>
            <w:left w:w="108" w:type="dxa"/>
            <w:bottom w:w="0" w:type="dxa"/>
            <w:right w:w="108" w:type="dxa"/>
          </w:tblCellMar>
        </w:tblPrEx>
        <w:trPr>
          <w:trHeight w:val="954" w:hRule="atLeast"/>
        </w:trPr>
        <w:tc>
          <w:tcPr>
            <w:tcW w:w="727" w:type="dxa"/>
            <w:tcBorders>
              <w:top w:val="nil"/>
              <w:left w:val="single" w:color="000000" w:sz="8" w:space="0"/>
              <w:bottom w:val="single" w:color="auto" w:sz="4"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1556"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售后服务与质保方案</w:t>
            </w:r>
          </w:p>
        </w:tc>
        <w:tc>
          <w:tcPr>
            <w:tcW w:w="709" w:type="dxa"/>
            <w:tcBorders>
              <w:top w:val="nil"/>
              <w:left w:val="nil"/>
              <w:bottom w:val="single" w:color="auto" w:sz="4" w:space="0"/>
              <w:right w:val="single" w:color="000000" w:sz="8" w:space="0"/>
            </w:tcBorders>
            <w:vAlign w:val="center"/>
          </w:tcPr>
          <w:p>
            <w:pPr>
              <w:spacing w:line="44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6090" w:type="dxa"/>
            <w:tcBorders>
              <w:top w:val="nil"/>
              <w:left w:val="nil"/>
              <w:bottom w:val="single" w:color="auto" w:sz="4" w:space="0"/>
              <w:right w:val="single" w:color="000000" w:sz="8" w:space="0"/>
            </w:tcBorders>
            <w:vAlign w:val="center"/>
          </w:tcPr>
          <w:p>
            <w:pPr>
              <w:spacing w:line="440" w:lineRule="exact"/>
              <w:jc w:val="left"/>
              <w:rPr>
                <w:rFonts w:hint="eastAsia" w:ascii="仿宋" w:hAnsi="仿宋" w:eastAsia="仿宋" w:cs="仿宋"/>
                <w:highlight w:val="none"/>
              </w:rPr>
            </w:pPr>
            <w:r>
              <w:rPr>
                <w:rFonts w:hint="eastAsia" w:ascii="仿宋" w:hAnsi="仿宋" w:eastAsia="仿宋" w:cs="仿宋"/>
                <w:highlight w:val="none"/>
              </w:rPr>
              <w:t>根据竞谈响应人提供的售后服务内容、故障响应时限、故障解决方案、质量保障方案等进行评审。方案优秀的得[3]分；一般的得[2]分；较差[0-1]分。</w:t>
            </w:r>
          </w:p>
        </w:tc>
      </w:tr>
    </w:tbl>
    <w:p>
      <w:pPr>
        <w:rPr>
          <w:highlight w:val="none"/>
        </w:rPr>
      </w:pPr>
    </w:p>
    <w:p>
      <w:pPr>
        <w:pStyle w:val="12"/>
        <w:rPr>
          <w:highlight w:val="none"/>
        </w:rPr>
      </w:pPr>
    </w:p>
    <w:p>
      <w:pPr>
        <w:spacing w:line="1000" w:lineRule="atLeast"/>
        <w:rPr>
          <w:rFonts w:hint="eastAsia" w:ascii="仿宋_GB2312" w:hAnsi="宋体" w:eastAsia="仿宋_GB2312"/>
          <w:b/>
          <w:spacing w:val="32"/>
          <w:w w:val="90"/>
          <w:sz w:val="52"/>
          <w:szCs w:val="52"/>
          <w:highlight w:val="none"/>
        </w:rPr>
      </w:pPr>
      <w:r>
        <w:rPr>
          <w:rFonts w:hint="eastAsia" w:ascii="仿宋_GB2312" w:hAnsi="宋体" w:eastAsia="仿宋_GB2312"/>
          <w:b/>
          <w:spacing w:val="32"/>
          <w:w w:val="90"/>
          <w:sz w:val="52"/>
          <w:szCs w:val="52"/>
          <w:highlight w:val="none"/>
        </w:rPr>
        <w:t>合同模板</w:t>
      </w:r>
    </w:p>
    <w:p>
      <w:pPr>
        <w:spacing w:line="1000" w:lineRule="atLeast"/>
        <w:rPr>
          <w:rFonts w:hint="eastAsia" w:ascii="仿宋_GB2312" w:hAnsi="宋体" w:eastAsia="仿宋_GB2312"/>
          <w:b/>
          <w:spacing w:val="32"/>
          <w:w w:val="90"/>
          <w:sz w:val="72"/>
          <w:szCs w:val="72"/>
          <w:highlight w:val="none"/>
        </w:rPr>
      </w:pPr>
    </w:p>
    <w:p>
      <w:pPr>
        <w:spacing w:line="1000" w:lineRule="atLeast"/>
        <w:jc w:val="center"/>
        <w:rPr>
          <w:rFonts w:hint="eastAsia" w:ascii="仿宋_GB2312" w:hAnsi="宋体" w:eastAsia="仿宋_GB2312"/>
          <w:b/>
          <w:spacing w:val="32"/>
          <w:w w:val="90"/>
          <w:sz w:val="52"/>
          <w:szCs w:val="52"/>
          <w:highlight w:val="none"/>
        </w:rPr>
      </w:pPr>
      <w:r>
        <w:rPr>
          <w:rFonts w:hint="eastAsia" w:ascii="仿宋_GB2312" w:hAnsi="宋体" w:eastAsia="仿宋_GB2312"/>
          <w:b/>
          <w:spacing w:val="32"/>
          <w:w w:val="90"/>
          <w:sz w:val="52"/>
          <w:szCs w:val="52"/>
          <w:highlight w:val="none"/>
        </w:rPr>
        <w:t>XXX技术服务合同</w:t>
      </w:r>
    </w:p>
    <w:p>
      <w:pPr>
        <w:spacing w:line="1000" w:lineRule="atLeast"/>
        <w:jc w:val="center"/>
        <w:rPr>
          <w:rFonts w:hint="eastAsia" w:ascii="仿宋_GB2312" w:hAnsi="宋体" w:eastAsia="仿宋_GB2312"/>
          <w:b/>
          <w:sz w:val="72"/>
          <w:szCs w:val="72"/>
          <w:highlight w:val="none"/>
        </w:rPr>
      </w:pPr>
      <w:r>
        <w:rPr>
          <w:rFonts w:hint="eastAsia" w:ascii="仿宋_GB2312" w:hAnsi="宋体" w:eastAsia="仿宋_GB2312"/>
          <w:b/>
          <w:spacing w:val="32"/>
          <w:w w:val="90"/>
          <w:sz w:val="52"/>
          <w:szCs w:val="52"/>
          <w:highlight w:val="none"/>
        </w:rPr>
        <w:t xml:space="preserve"> </w:t>
      </w:r>
      <w:r>
        <w:rPr>
          <w:rFonts w:hint="eastAsia" w:ascii="仿宋_GB2312" w:hAnsi="宋体" w:eastAsia="仿宋_GB2312"/>
          <w:b/>
          <w:sz w:val="72"/>
          <w:szCs w:val="72"/>
          <w:highlight w:val="none"/>
        </w:rPr>
        <w:t xml:space="preserve">  </w:t>
      </w:r>
    </w:p>
    <w:p>
      <w:pPr>
        <w:spacing w:line="360" w:lineRule="auto"/>
        <w:ind w:firstLine="1247" w:firstLineChars="345"/>
        <w:jc w:val="left"/>
        <w:rPr>
          <w:rFonts w:hint="eastAsia" w:ascii="仿宋_GB2312" w:hAnsi="宋体" w:eastAsia="仿宋_GB2312"/>
          <w:b/>
          <w:sz w:val="36"/>
          <w:szCs w:val="36"/>
          <w:highlight w:val="none"/>
        </w:rPr>
      </w:pPr>
    </w:p>
    <w:p>
      <w:pPr>
        <w:spacing w:line="360" w:lineRule="auto"/>
        <w:ind w:firstLine="1247" w:firstLineChars="345"/>
        <w:jc w:val="left"/>
        <w:rPr>
          <w:rFonts w:hint="eastAsia" w:ascii="仿宋_GB2312" w:hAnsi="宋体" w:eastAsia="仿宋_GB2312"/>
          <w:b/>
          <w:sz w:val="36"/>
          <w:szCs w:val="36"/>
          <w:highlight w:val="none"/>
        </w:rPr>
      </w:pPr>
    </w:p>
    <w:p>
      <w:pPr>
        <w:spacing w:line="360" w:lineRule="auto"/>
        <w:ind w:firstLine="1247" w:firstLineChars="345"/>
        <w:jc w:val="left"/>
        <w:rPr>
          <w:rFonts w:hint="eastAsia" w:ascii="仿宋_GB2312" w:hAnsi="宋体" w:eastAsia="仿宋_GB2312"/>
          <w:b/>
          <w:sz w:val="36"/>
          <w:szCs w:val="36"/>
          <w:highlight w:val="none"/>
        </w:rPr>
      </w:pPr>
    </w:p>
    <w:p>
      <w:pPr>
        <w:pStyle w:val="2"/>
        <w:ind w:right="164" w:firstLine="720"/>
        <w:rPr>
          <w:rFonts w:hint="eastAsia" w:ascii="仿宋_GB2312" w:hAnsi="宋体"/>
          <w:b/>
          <w:sz w:val="36"/>
          <w:szCs w:val="36"/>
          <w:highlight w:val="none"/>
        </w:rPr>
      </w:pPr>
    </w:p>
    <w:p>
      <w:pPr>
        <w:rPr>
          <w:rFonts w:hint="eastAsia" w:ascii="仿宋_GB2312" w:hAnsi="宋体" w:eastAsia="仿宋_GB2312"/>
          <w:b/>
          <w:sz w:val="36"/>
          <w:szCs w:val="36"/>
          <w:highlight w:val="none"/>
        </w:rPr>
      </w:pPr>
    </w:p>
    <w:p>
      <w:pPr>
        <w:pStyle w:val="2"/>
        <w:ind w:right="164" w:firstLine="720"/>
        <w:rPr>
          <w:rFonts w:hint="eastAsia" w:ascii="仿宋_GB2312" w:hAnsi="宋体"/>
          <w:b/>
          <w:sz w:val="36"/>
          <w:szCs w:val="36"/>
          <w:highlight w:val="none"/>
        </w:rPr>
      </w:pPr>
    </w:p>
    <w:p>
      <w:pPr>
        <w:rPr>
          <w:rFonts w:hint="eastAsia" w:ascii="仿宋_GB2312" w:hAnsi="宋体" w:eastAsia="仿宋_GB2312"/>
          <w:b/>
          <w:sz w:val="36"/>
          <w:szCs w:val="36"/>
          <w:highlight w:val="none"/>
        </w:rPr>
      </w:pPr>
    </w:p>
    <w:p>
      <w:pPr>
        <w:pStyle w:val="2"/>
        <w:ind w:right="164" w:firstLine="720"/>
        <w:rPr>
          <w:rFonts w:hint="eastAsia" w:ascii="仿宋_GB2312" w:hAnsi="宋体"/>
          <w:b/>
          <w:sz w:val="36"/>
          <w:szCs w:val="36"/>
          <w:highlight w:val="none"/>
        </w:rPr>
      </w:pPr>
    </w:p>
    <w:p>
      <w:pPr>
        <w:rPr>
          <w:rFonts w:hint="eastAsia" w:ascii="仿宋_GB2312" w:hAnsi="宋体" w:eastAsia="仿宋_GB2312"/>
          <w:b/>
          <w:sz w:val="36"/>
          <w:szCs w:val="36"/>
          <w:highlight w:val="none"/>
        </w:rPr>
      </w:pPr>
    </w:p>
    <w:p>
      <w:pPr>
        <w:pStyle w:val="2"/>
        <w:ind w:right="164"/>
        <w:rPr>
          <w:highlight w:val="none"/>
        </w:rPr>
      </w:pPr>
    </w:p>
    <w:p>
      <w:pPr>
        <w:spacing w:line="360" w:lineRule="auto"/>
        <w:jc w:val="center"/>
        <w:rPr>
          <w:rFonts w:hint="eastAsia" w:ascii="仿宋_GB2312" w:hAnsi="宋体" w:eastAsia="仿宋_GB2312"/>
          <w:b/>
          <w:sz w:val="36"/>
          <w:szCs w:val="36"/>
          <w:highlight w:val="none"/>
        </w:rPr>
      </w:pPr>
      <w:r>
        <w:rPr>
          <w:rFonts w:hint="eastAsia" w:ascii="仿宋_GB2312" w:hAnsi="宋体" w:eastAsia="仿宋_GB2312"/>
          <w:b/>
          <w:sz w:val="36"/>
          <w:szCs w:val="36"/>
          <w:highlight w:val="none"/>
        </w:rPr>
        <w:t>签订地址：杭州市西湖区</w:t>
      </w:r>
    </w:p>
    <w:p>
      <w:pPr>
        <w:spacing w:line="360" w:lineRule="auto"/>
        <w:jc w:val="center"/>
        <w:rPr>
          <w:rFonts w:hint="eastAsia" w:ascii="仿宋_GB2312" w:hAnsi="宋体" w:eastAsia="仿宋_GB2312"/>
          <w:b/>
          <w:sz w:val="36"/>
          <w:szCs w:val="36"/>
          <w:highlight w:val="none"/>
        </w:rPr>
      </w:pPr>
      <w:r>
        <w:rPr>
          <w:rFonts w:hint="eastAsia" w:ascii="仿宋_GB2312" w:hAnsi="宋体" w:eastAsia="仿宋_GB2312"/>
          <w:b/>
          <w:sz w:val="36"/>
          <w:szCs w:val="36"/>
          <w:highlight w:val="none"/>
        </w:rPr>
        <w:t>签订时间：2025年 月 日</w:t>
      </w:r>
    </w:p>
    <w:p>
      <w:pPr>
        <w:rPr>
          <w:highlight w:val="none"/>
        </w:rPr>
      </w:pPr>
    </w:p>
    <w:p>
      <w:pPr>
        <w:rPr>
          <w:highlight w:val="none"/>
        </w:rPr>
      </w:pPr>
    </w:p>
    <w:p>
      <w:pPr>
        <w:rPr>
          <w:highlight w:val="none"/>
        </w:rPr>
      </w:pPr>
    </w:p>
    <w:p>
      <w:pPr>
        <w:rPr>
          <w:highlight w:val="none"/>
        </w:rPr>
      </w:pPr>
    </w:p>
    <w:p>
      <w:pPr>
        <w:rPr>
          <w:highlight w:val="none"/>
        </w:rPr>
      </w:pPr>
    </w:p>
    <w:p>
      <w:pPr>
        <w:pStyle w:val="2"/>
        <w:ind w:right="164"/>
        <w:rPr>
          <w:highlight w:val="none"/>
        </w:rPr>
      </w:pPr>
    </w:p>
    <w:p>
      <w:pPr>
        <w:rPr>
          <w:highlight w:val="none"/>
        </w:rPr>
      </w:pPr>
    </w:p>
    <w:p>
      <w:pPr>
        <w:pStyle w:val="2"/>
        <w:ind w:right="164"/>
        <w:rPr>
          <w:highlight w:val="none"/>
        </w:rPr>
      </w:pPr>
    </w:p>
    <w:p>
      <w:pPr>
        <w:rPr>
          <w:highlight w:val="none"/>
        </w:rPr>
      </w:pPr>
    </w:p>
    <w:p>
      <w:pPr>
        <w:pStyle w:val="4"/>
        <w:numPr>
          <w:ilvl w:val="0"/>
          <w:numId w:val="7"/>
        </w:numPr>
        <w:spacing w:after="0"/>
        <w:rPr>
          <w:rFonts w:hint="eastAsia"/>
          <w:highlight w:val="none"/>
        </w:rPr>
      </w:pPr>
      <w:r>
        <w:rPr>
          <w:rFonts w:hint="eastAsia"/>
          <w:highlight w:val="none"/>
        </w:rPr>
        <w:t>定义</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甲方：指的是</w:t>
      </w:r>
      <w:r>
        <w:rPr>
          <w:rFonts w:hint="eastAsia" w:ascii="仿宋_GB2312" w:hAnsi="宋体" w:eastAsia="仿宋_GB2312"/>
          <w:sz w:val="24"/>
          <w:highlight w:val="none"/>
          <w:u w:val="single"/>
        </w:rPr>
        <w:t xml:space="preserve">  浙江中水数建科技有限公司  </w:t>
      </w:r>
      <w:r>
        <w:rPr>
          <w:rFonts w:hint="eastAsia" w:ascii="仿宋_GB2312" w:hAnsi="宋体" w:eastAsia="仿宋_GB2312"/>
          <w:sz w:val="24"/>
          <w:highlight w:val="none"/>
        </w:rPr>
        <w:t>。</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乙方：指的是</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合同：是指甲乙双方订立的协议，包括合同条款及其所有附件。</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合同价格：是指乙方已经全部履行了其合同义务后，由甲方支付给乙方的全部报酬，该价款不受价格波动的影响。</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技术服务：指的是现场勘查、咨询、方案设计、技术指导、集成调试、试运行、项目验收、性能保障、维护保修、人员培训及合同项下乙方应提供的其他有关服务。 </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上线试运行：系统安装调试完毕，达到竞谈文件及合同规定的功能、技术要求和性能指标之后进行的评审。</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初步验收：通过上线试运行期后（上线试运行期三个月），所进行的验收。如果上线试运行期内不能解决出现的故障，待故障解决后，重新计算试运行期时间。</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最终验收：初验合格后的</w:t>
      </w:r>
      <w:r>
        <w:rPr>
          <w:rFonts w:hint="eastAsia" w:ascii="仿宋_GB2312" w:hAnsi="宋体" w:eastAsia="仿宋_GB2312"/>
          <w:sz w:val="24"/>
          <w:highlight w:val="none"/>
          <w:lang w:val="en-US" w:eastAsia="zh-CN"/>
        </w:rPr>
        <w:t>三个月</w:t>
      </w:r>
      <w:r>
        <w:rPr>
          <w:rFonts w:hint="eastAsia" w:ascii="仿宋_GB2312" w:hAnsi="宋体" w:eastAsia="仿宋_GB2312"/>
          <w:sz w:val="24"/>
          <w:highlight w:val="none"/>
        </w:rPr>
        <w:t>进行验收。</w:t>
      </w:r>
    </w:p>
    <w:p>
      <w:pPr>
        <w:pStyle w:val="4"/>
        <w:numPr>
          <w:ilvl w:val="0"/>
          <w:numId w:val="7"/>
        </w:numPr>
        <w:spacing w:after="0"/>
        <w:rPr>
          <w:rFonts w:hint="eastAsia"/>
          <w:highlight w:val="none"/>
        </w:rPr>
      </w:pPr>
      <w:bookmarkStart w:id="160" w:name="_Toc28978"/>
      <w:bookmarkStart w:id="161" w:name="_Toc32211"/>
      <w:r>
        <w:rPr>
          <w:rFonts w:hint="eastAsia"/>
          <w:highlight w:val="none"/>
        </w:rPr>
        <w:t>合同标的</w:t>
      </w:r>
      <w:bookmarkEnd w:id="160"/>
      <w:bookmarkEnd w:id="161"/>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本合同的供货清单和分项价格在合同附件一中列出。乙方保证全部合同系统的技术性能、技术条件满足竞谈文件里技术规范书中所述的标准及规范。</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本合同包括为保证所供应的合同系统安全可靠、正常运行与维护所必须的技术服务及技术文件。</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乙方应派在相关领域从业五年以上，具有相关资格、职称、经验的技术人员到合同约定的项目现场进行技术服务，其费用已包括在合同总价中。</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合同标的到达指定地点之后，乙方应协助甲方进行合同系统的检验，并与甲方对合同系统进行交接，同时形成相应的接收文档。</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lang w:val="en-US" w:eastAsia="zh-CN"/>
        </w:rPr>
        <w:t>系统终验前</w:t>
      </w:r>
      <w:r>
        <w:rPr>
          <w:rFonts w:hint="eastAsia" w:ascii="仿宋_GB2312" w:hAnsi="宋体" w:eastAsia="仿宋_GB2312"/>
          <w:sz w:val="24"/>
          <w:highlight w:val="none"/>
        </w:rPr>
        <w:t>，乙方必须提供保证系统正常运行所需的技术支持服务，其费用已包括在合同总价中。</w:t>
      </w:r>
    </w:p>
    <w:p>
      <w:pPr>
        <w:numPr>
          <w:ilvl w:val="1"/>
          <w:numId w:val="8"/>
        </w:numPr>
        <w:spacing w:line="360" w:lineRule="auto"/>
        <w:rPr>
          <w:highlight w:val="none"/>
        </w:rPr>
      </w:pPr>
      <w:r>
        <w:rPr>
          <w:rFonts w:hint="eastAsia" w:ascii="仿宋_GB2312" w:hAnsi="宋体" w:eastAsia="仿宋_GB2312"/>
          <w:sz w:val="24"/>
          <w:highlight w:val="none"/>
        </w:rPr>
        <w:t>乙方在合同的供货范围内免费向甲方提供关于改进合同系统的所有有关的技术文件。</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存档资料：乙方人员所产生的维护文档，问题处理报告，设备用户名等所有有关文档必须按照甲方要求进行存档或销毁，不许擅自带走。技术人员上门服务：上门至甲方工作地点，解决甲方工作中出现的问题。</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本项目竞谈文件中涉及甲乙双方的所有文件以及合同附件是本合同不可分割的一部分，具有同等法律效力。文件间有矛盾时，按签署该文件时间顺序来衡量，并以后者为准，附件与合同有矛盾时，以合同为准。</w:t>
      </w:r>
    </w:p>
    <w:p>
      <w:pPr>
        <w:pStyle w:val="4"/>
        <w:numPr>
          <w:ilvl w:val="0"/>
          <w:numId w:val="7"/>
        </w:numPr>
        <w:spacing w:after="0"/>
        <w:rPr>
          <w:rFonts w:hint="eastAsia"/>
          <w:highlight w:val="none"/>
        </w:rPr>
      </w:pPr>
      <w:bookmarkStart w:id="162" w:name="_Toc662"/>
      <w:bookmarkStart w:id="163" w:name="_Toc451"/>
      <w:r>
        <w:rPr>
          <w:rFonts w:hint="eastAsia"/>
          <w:highlight w:val="none"/>
        </w:rPr>
        <w:t>合同范围</w:t>
      </w:r>
      <w:bookmarkEnd w:id="162"/>
      <w:bookmarkEnd w:id="163"/>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供货范围详见技术规范书，包括所有软件系统、硬件系统、技术文件、技术服务及技术培训，但在执行合同过程中如果发现有任何漏项和短缺，在合同中并未列入但确实是乙方工作范围中应该有的，并且是满足技术规范书中的要求所必须的，均由乙方负责将所缺的软件系统、硬件系统、技术文件、技术服务及技术培训补上，且不与甲方发生费用问题。</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双方同意乙方为本合同的唯一承包方，未经甲方书面授权，乙方不得将合同分包或转包给第三方。</w:t>
      </w:r>
    </w:p>
    <w:p>
      <w:pPr>
        <w:pStyle w:val="4"/>
        <w:numPr>
          <w:ilvl w:val="0"/>
          <w:numId w:val="7"/>
        </w:numPr>
        <w:spacing w:after="0"/>
        <w:rPr>
          <w:rFonts w:hint="eastAsia"/>
          <w:highlight w:val="none"/>
        </w:rPr>
      </w:pPr>
      <w:bookmarkStart w:id="164" w:name="_Toc26429"/>
      <w:bookmarkStart w:id="165" w:name="_Toc6507"/>
      <w:r>
        <w:rPr>
          <w:rFonts w:hint="eastAsia"/>
          <w:highlight w:val="none"/>
        </w:rPr>
        <w:t>合同价格</w:t>
      </w:r>
      <w:bookmarkEnd w:id="164"/>
      <w:bookmarkEnd w:id="165"/>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以乙方完成对合同项下全部义务为前提，本合同总价为人民币（含增值税）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万元，(大写：</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元)。</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价格的充分性,</w:t>
      </w:r>
      <w:r>
        <w:rPr>
          <w:rFonts w:hint="eastAsia" w:ascii="仿宋_GB2312" w:hAnsi="宋体" w:eastAsia="仿宋_GB2312"/>
          <w:bCs/>
          <w:sz w:val="24"/>
          <w:highlight w:val="none"/>
        </w:rPr>
        <w:t>应当认为乙方已彻底查清，并在本合同价格中充分考虑到了以下各项：</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影响合同价格的全部条件和情况。</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完成合同中所述项目的可能性。</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现场的综合情况,以及现场总的劳务情况。</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合同价格包含了以下可能存在的费用（该价格包括但不限于此）：</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合同系统整体规划设计、系统建设、系统集成、调试、技术服务和维保服务、技术资料、技术支持与培训、现场技术服务费用；</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乙方人工费用；</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有关的必要功能扩充所需费用；</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合同系统可能的特许使用费；</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对甲方技术人员和操作人员的除住宿、交通费外的全部培训费用；</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合同系统在制造、进口、销售、运行各个环节的税收及费用；</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乙方的税收、管理费用及其它各项开支；</w:t>
      </w:r>
    </w:p>
    <w:p>
      <w:pPr>
        <w:numPr>
          <w:ilvl w:val="0"/>
          <w:numId w:val="9"/>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合同中规定的应由乙方承担的其它费用，以及合同中未明确约定，但系与乙方完成本合同项下义务相关的所有其他费用。</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合同分项价格详见合同附件一。</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除前述款项外，就乙方完成本合同项下的全部责任和义务，甲方不再向乙方支付任何其它款项和费用。</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本合同总价在合同有效期内为不变价。</w:t>
      </w:r>
    </w:p>
    <w:p>
      <w:pPr>
        <w:pStyle w:val="4"/>
        <w:numPr>
          <w:ilvl w:val="0"/>
          <w:numId w:val="7"/>
        </w:numPr>
        <w:spacing w:after="0"/>
        <w:rPr>
          <w:rFonts w:hint="eastAsia"/>
          <w:highlight w:val="none"/>
        </w:rPr>
      </w:pPr>
      <w:bookmarkStart w:id="166" w:name="_Toc13949"/>
      <w:bookmarkStart w:id="167" w:name="_Toc25916"/>
      <w:r>
        <w:rPr>
          <w:rFonts w:hint="eastAsia"/>
          <w:highlight w:val="none"/>
        </w:rPr>
        <w:t>付款方式和付款比例</w:t>
      </w:r>
      <w:bookmarkEnd w:id="166"/>
      <w:bookmarkEnd w:id="167"/>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 本合同计价货币为</w:t>
      </w:r>
      <w:r>
        <w:rPr>
          <w:rFonts w:hint="eastAsia" w:ascii="仿宋_GB2312" w:hAnsi="宋体" w:eastAsia="仿宋_GB2312"/>
          <w:sz w:val="24"/>
          <w:highlight w:val="none"/>
          <w:u w:val="single"/>
        </w:rPr>
        <w:t>人民币</w:t>
      </w:r>
      <w:r>
        <w:rPr>
          <w:rFonts w:hint="eastAsia" w:ascii="仿宋_GB2312" w:hAnsi="宋体" w:eastAsia="仿宋_GB2312"/>
          <w:sz w:val="24"/>
          <w:highlight w:val="none"/>
        </w:rPr>
        <w:t>。</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付款方式：银行转账、支票或银行承兑。</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合同款的支付：  </w:t>
      </w:r>
    </w:p>
    <w:p>
      <w:pPr>
        <w:pStyle w:val="4"/>
        <w:numPr>
          <w:ilvl w:val="0"/>
          <w:numId w:val="7"/>
        </w:numPr>
        <w:spacing w:after="0"/>
        <w:rPr>
          <w:rFonts w:hint="eastAsia"/>
          <w:highlight w:val="none"/>
        </w:rPr>
      </w:pPr>
      <w:bookmarkStart w:id="168" w:name="_Toc1987"/>
      <w:bookmarkStart w:id="169" w:name="_Toc17451"/>
      <w:r>
        <w:rPr>
          <w:rFonts w:hint="eastAsia"/>
          <w:highlight w:val="none"/>
        </w:rPr>
        <w:t>技术服务及联络</w:t>
      </w:r>
      <w:bookmarkEnd w:id="168"/>
      <w:bookmarkEnd w:id="169"/>
    </w:p>
    <w:p>
      <w:pPr>
        <w:pStyle w:val="32"/>
        <w:numPr>
          <w:ilvl w:val="0"/>
          <w:numId w:val="10"/>
        </w:numPr>
        <w:spacing w:line="360" w:lineRule="auto"/>
        <w:ind w:firstLineChars="0"/>
        <w:rPr>
          <w:rFonts w:ascii="仿宋_GB2312" w:eastAsia="仿宋_GB2312"/>
          <w:vanish/>
          <w:sz w:val="24"/>
          <w:highlight w:val="none"/>
        </w:rPr>
      </w:pPr>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乙方须派在相关领域从业五年以上，具有相关资格或职称，且有丰富经验的技术人员到现场进行技术服务，并负责解决合同系统和系统在安装调试、试运行以及</w:t>
      </w:r>
      <w:r>
        <w:rPr>
          <w:rFonts w:hint="eastAsia" w:ascii="仿宋_GB2312" w:hAnsi="宋体" w:eastAsia="仿宋_GB2312"/>
          <w:sz w:val="24"/>
          <w:highlight w:val="none"/>
          <w:lang w:val="en-US" w:eastAsia="zh-CN"/>
        </w:rPr>
        <w:t>系统终验前</w:t>
      </w:r>
      <w:r>
        <w:rPr>
          <w:rFonts w:hint="eastAsia" w:ascii="仿宋_GB2312" w:hAnsi="宋体" w:eastAsia="仿宋_GB2312"/>
          <w:sz w:val="24"/>
          <w:highlight w:val="none"/>
        </w:rPr>
        <w:t>所发现的质量问题，服务范围见技术规范书。在必要的情况下，甲方有权要求乙方在不影响项目进度的条件下重新选派技术服务人员。</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项目实施前，乙方应向甲方提交详细的实施方案，由甲方确认后方可进行。</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在合同生效后两天内，双方确定项目负责人联络方式。</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遇有重大问题需要双方立即研究协商时，任何一方均可建议召开会议，另一方应同意参加，除非有特殊情况可以不参加，但需将特殊情况以书面形式告知对方，并且在一个月中不得超过三次，否则视为违约，每发生一次扣除合同总额5</w:t>
      </w:r>
      <w:r>
        <w:rPr>
          <w:rFonts w:ascii="仿宋_GB2312" w:hAnsi="宋体" w:eastAsia="仿宋_GB2312"/>
          <w:sz w:val="24"/>
          <w:highlight w:val="none"/>
        </w:rPr>
        <w:t>%</w:t>
      </w:r>
      <w:r>
        <w:rPr>
          <w:rFonts w:hint="eastAsia" w:ascii="仿宋_GB2312" w:hAnsi="宋体" w:eastAsia="仿宋_GB2312"/>
          <w:sz w:val="24"/>
          <w:highlight w:val="none"/>
        </w:rPr>
        <w:t>。</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各次会议及其他联络方式双方均应签署会议或联络纪要，所签纪要双方均应执行。如涉及合同条款有修改时，需经双方授权代表签字盖章后生效，经双方签署书面文件予以确认，以修改本为准，且修改内容要及时通知原合同有关各方备案。</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提出并经双方在会议上确定的调试和运行技术服务方案，乙方如有修改，须以书面形式通知甲方，经甲方书面确认后方可进行。为适应现场条件的要求，甲方有权提出变更或修改意见，并书面通知乙方，乙方应给予充分考虑，满足甲方要求。</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乙方负责对甲方人员的技术培训工作，培训时间、地点、内容及培训资料等详见合同附件，费用含在总价之内。</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甲方有权将乙方的技术服务方案以及乙方提供的一切有关合同项目的技术资料复印分发给与甲方有关的各方。</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在服务期限内，乙方为甲方提供远程技术支持服务(7*24小时热线支持电话和相关邮件回复)，并给予相关问题的方案和建议。</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对双方盖有“密件”印章的文件，双方均有保密义务，但甲方系统内部使用的行为除外。</w:t>
      </w:r>
    </w:p>
    <w:p>
      <w:pPr>
        <w:pStyle w:val="4"/>
        <w:numPr>
          <w:ilvl w:val="0"/>
          <w:numId w:val="7"/>
        </w:numPr>
        <w:spacing w:after="0"/>
        <w:rPr>
          <w:rFonts w:hint="eastAsia"/>
          <w:highlight w:val="none"/>
        </w:rPr>
      </w:pPr>
      <w:bookmarkStart w:id="170" w:name="_Toc29423"/>
      <w:bookmarkStart w:id="171" w:name="_Toc12293"/>
      <w:r>
        <w:rPr>
          <w:rFonts w:hint="eastAsia"/>
          <w:highlight w:val="none"/>
        </w:rPr>
        <w:t>双方的权利和义务</w:t>
      </w:r>
      <w:bookmarkEnd w:id="170"/>
      <w:bookmarkEnd w:id="171"/>
    </w:p>
    <w:p>
      <w:pPr>
        <w:pStyle w:val="32"/>
        <w:numPr>
          <w:ilvl w:val="0"/>
          <w:numId w:val="11"/>
        </w:numPr>
        <w:spacing w:line="360" w:lineRule="auto"/>
        <w:ind w:firstLineChars="0"/>
        <w:rPr>
          <w:rFonts w:hint="eastAsia" w:ascii="仿宋_GB2312" w:hAnsi="宋体" w:eastAsia="仿宋_GB2312"/>
          <w:vanish/>
          <w:sz w:val="24"/>
          <w:highlight w:val="none"/>
        </w:rPr>
      </w:pPr>
    </w:p>
    <w:p>
      <w:pPr>
        <w:pStyle w:val="32"/>
        <w:numPr>
          <w:ilvl w:val="0"/>
          <w:numId w:val="11"/>
        </w:numPr>
        <w:spacing w:line="360" w:lineRule="auto"/>
        <w:ind w:firstLineChars="0"/>
        <w:rPr>
          <w:rFonts w:hint="eastAsia" w:ascii="仿宋_GB2312" w:hAnsi="宋体" w:eastAsia="仿宋_GB2312"/>
          <w:vanish/>
          <w:sz w:val="24"/>
          <w:highlight w:val="none"/>
        </w:rPr>
      </w:pPr>
    </w:p>
    <w:p>
      <w:pPr>
        <w:pStyle w:val="32"/>
        <w:numPr>
          <w:ilvl w:val="0"/>
          <w:numId w:val="11"/>
        </w:numPr>
        <w:spacing w:line="360" w:lineRule="auto"/>
        <w:ind w:firstLineChars="0"/>
        <w:rPr>
          <w:rFonts w:hint="eastAsia" w:ascii="仿宋_GB2312" w:hAnsi="宋体" w:eastAsia="仿宋_GB2312"/>
          <w:vanish/>
          <w:sz w:val="24"/>
          <w:highlight w:val="none"/>
        </w:rPr>
      </w:pPr>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甲方的权利和义务</w:t>
      </w:r>
    </w:p>
    <w:p>
      <w:pPr>
        <w:pStyle w:val="32"/>
        <w:numPr>
          <w:ilvl w:val="0"/>
          <w:numId w:val="10"/>
        </w:numPr>
        <w:tabs>
          <w:tab w:val="left" w:pos="1276"/>
        </w:tabs>
        <w:spacing w:line="360" w:lineRule="auto"/>
        <w:ind w:firstLineChars="0"/>
        <w:jc w:val="left"/>
        <w:rPr>
          <w:rFonts w:hint="eastAsia" w:ascii="仿宋_GB2312" w:hAnsi="宋体" w:eastAsia="仿宋_GB2312"/>
          <w:vanish/>
          <w:sz w:val="24"/>
          <w:highlight w:val="none"/>
        </w:rPr>
      </w:pPr>
    </w:p>
    <w:p>
      <w:pPr>
        <w:pStyle w:val="32"/>
        <w:numPr>
          <w:ilvl w:val="1"/>
          <w:numId w:val="10"/>
        </w:numPr>
        <w:tabs>
          <w:tab w:val="left" w:pos="1276"/>
        </w:tabs>
        <w:spacing w:line="360" w:lineRule="auto"/>
        <w:ind w:firstLineChars="0"/>
        <w:jc w:val="left"/>
        <w:rPr>
          <w:rFonts w:hint="eastAsia" w:ascii="仿宋_GB2312" w:hAnsi="宋体" w:eastAsia="仿宋_GB2312"/>
          <w:vanish/>
          <w:sz w:val="24"/>
          <w:highlight w:val="none"/>
        </w:rPr>
      </w:pP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参照项目开发进度计划，在项目开发和实施过程中提供配合与支持，协助乙方解决阻碍项目进展的有关问题，保证计划的顺利实施。</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根据本合同的规定和项目需要，向乙方提供有关资料，并指派相关人员配合乙方调查了解有关情况。</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按进度要求及时组织各里程碑成果的验收工作。</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按合同规定支付项目建设费用。</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遵守本合同所规定的知识产权与保密方面的义务。</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乙方的权利和义务</w:t>
      </w:r>
    </w:p>
    <w:p>
      <w:pPr>
        <w:pStyle w:val="32"/>
        <w:numPr>
          <w:ilvl w:val="1"/>
          <w:numId w:val="10"/>
        </w:numPr>
        <w:tabs>
          <w:tab w:val="left" w:pos="1276"/>
        </w:tabs>
        <w:spacing w:line="360" w:lineRule="auto"/>
        <w:ind w:firstLineChars="0"/>
        <w:jc w:val="left"/>
        <w:rPr>
          <w:rFonts w:hint="eastAsia" w:ascii="仿宋_GB2312" w:hAnsi="宋体" w:eastAsia="仿宋_GB2312"/>
          <w:vanish/>
          <w:sz w:val="24"/>
          <w:highlight w:val="none"/>
        </w:rPr>
      </w:pP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乙方根据竞谈书以及甲方需求，组织实施建设项目的实施工作。</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乙方根据竞谈书以及甲方需求，组织技术人员按双方约定的系统实施计划开展系统建设工作，并及时向甲方汇报开发进度。乙方认为确需修改进度，须经甲方确认，修改进度后发生的追加费用由乙方自理。</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乙方负责对甲方人员提供相应的专业和技术培训。培训工作内容参见合同附件。</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乙方成立专门服务于甲方的项目小组，项目小组的成员数量、专业素质等必须充分保证本项目的顺利开展。</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项目小组须服从甲方管理，包括项目经理，项目组成员、项目组成员数量等须根据甲方要求做出相应调整，项目小组须服从甲方及监理管理。</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项目小组人员应保持稳定，项目经理及核心人员变换需经甲方同意。项目小组成员在未完全履行本项目规定责任及义务期间，未经甲方同意，不得参与其他项目，否则视为乙方违约。</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乙方保证严格按照合同附件的承诺向甲方提供技术支持与售后服务。</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乙方保证严格按照本合同及其附件的规定组织和进行系统建设。</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乙方对其技术方案的可行性和实施完整性负全责。</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有义务对甲方现有的技术及软件进行充分了解，并结合甲方拟建的系统，充分利用甲方已有设备和相关软硬件。除甲方明确表示需依照本合同由乙方升级优化的和不予保留的功能之外，乙方不得由于集成了本合同所规定的系统后，而破坏其原有功能。</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乙方保证向甲方提供的系统及服务不会侵害第三方知识产权，否则，由此产生的一切法律后果由乙方独立承担。并赔偿甲方因此所遭受的经济损失。</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遵守本合同规定的知识产权与保密方面的义务，按照甲方要求签订《保密协议》。</w:t>
      </w:r>
    </w:p>
    <w:p>
      <w:pPr>
        <w:pStyle w:val="4"/>
        <w:numPr>
          <w:ilvl w:val="0"/>
          <w:numId w:val="7"/>
        </w:numPr>
        <w:spacing w:after="0"/>
        <w:rPr>
          <w:rFonts w:hint="eastAsia"/>
          <w:highlight w:val="none"/>
        </w:rPr>
      </w:pPr>
      <w:bookmarkStart w:id="172" w:name="_Toc19233"/>
      <w:bookmarkStart w:id="173" w:name="_Toc22583"/>
      <w:r>
        <w:rPr>
          <w:rFonts w:hint="eastAsia"/>
          <w:highlight w:val="none"/>
        </w:rPr>
        <w:t>保证与索赔</w:t>
      </w:r>
      <w:bookmarkEnd w:id="172"/>
      <w:bookmarkEnd w:id="173"/>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 乙方保证所交付的技术文件应保证清晰、完整、统一、正确，并能满足技术规范书的要求。</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拥有其实施方案以及相关合同系统的商标权、专利权及其它知识产权或自己取得相关权利所有人的使用许可，并保证甲方使用不侵犯任何他人的有关权利，否则由乙方承担由此引发的一切法律责任，并赔偿甲方由此而引起的损失。</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履行期间，如果乙方提供的技术资料有错误，或者由于乙方技术人员的过错造成了损失，乙方须立即无偿进行赔付，以免影响整个项目的正常进行。乙方如需委托第三方在现场进行赔付，必须征得甲方书面认可，且其质量和所有费用均由乙方负责。</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由于乙方责任修复有缺陷的合同系统，使本合同的系统推迟安装或停运时，则保证期按实际修复所延误的时间作相应的延长，且新更换的合同系统，其保证期应重新计算。</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乙方应保证该系统运行的安全性，如果该系统发生信息安全问题或因该系统造成信息安全事件，应由乙方承担全部安全责任，并处以因此造成的直接和间接损失的双倍罚款。</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由于乙方责任，在系统进行正常投入运行交接证明后，不能达到甲方认可的系统功能验收标准中的一项或多项保证指标时，甲方除有权终止合同，收回已付款项，并要求乙方对甲方进行经济赔偿；甲方也可以要求乙方支付违约金，其计算方法如下：</w:t>
      </w:r>
    </w:p>
    <w:p>
      <w:pPr>
        <w:spacing w:line="360" w:lineRule="auto"/>
        <w:ind w:left="525" w:leftChars="250"/>
        <w:rPr>
          <w:rFonts w:hint="eastAsia" w:ascii="仿宋_GB2312" w:hAnsi="宋体" w:eastAsia="仿宋_GB2312"/>
          <w:sz w:val="24"/>
          <w:highlight w:val="none"/>
        </w:rPr>
      </w:pPr>
      <w:r>
        <w:rPr>
          <w:rFonts w:hint="eastAsia" w:ascii="仿宋_GB2312" w:hAnsi="宋体" w:eastAsia="仿宋_GB2312"/>
          <w:sz w:val="24"/>
          <w:highlight w:val="none"/>
        </w:rPr>
        <w:t>如果达不到双方认可实施文档描述的功能，每少一项，罚款为合同总价的1％；不满一个违约金计算单位的，按实际比例计算。</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乙方提交违约金后，仍有责任向甲方提供技术帮助，并采取各种措施（包括改进相关软件功能）以达到竞谈文件提出的各项功能及技术要求，由此发生的一切费用均由乙方自行承担。</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如果甲方不要求推迟交付而乙方未能按本合同规定的交付期交付时(不可抗力除外)，或延误项目进度，甲方有权按下列比例向乙方收取违约金，因甲方因素项目实施推延的除外：</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不能按合同进度要求完成项目功能内容的，以双方认可实施文档为依据。（由于甲方原因而影响乙方项目实施进度不在此列）， </w:t>
      </w:r>
    </w:p>
    <w:p>
      <w:pPr>
        <w:numPr>
          <w:ilvl w:val="0"/>
          <w:numId w:val="12"/>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迟交或延误项目进度一周内，每天违约金金额为合同价格的0.2%；</w:t>
      </w:r>
    </w:p>
    <w:p>
      <w:pPr>
        <w:numPr>
          <w:ilvl w:val="0"/>
          <w:numId w:val="12"/>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迟交或延误项目进度2－3周，每天违约金金额为合同价格的0.5%；</w:t>
      </w:r>
    </w:p>
    <w:p>
      <w:pPr>
        <w:numPr>
          <w:ilvl w:val="0"/>
          <w:numId w:val="12"/>
        </w:numPr>
        <w:spacing w:line="360" w:lineRule="auto"/>
        <w:ind w:left="1033" w:leftChars="300" w:hanging="403"/>
        <w:rPr>
          <w:rFonts w:hint="eastAsia" w:ascii="仿宋_GB2312" w:hAnsi="宋体" w:eastAsia="仿宋_GB2312"/>
          <w:sz w:val="24"/>
          <w:highlight w:val="none"/>
        </w:rPr>
      </w:pPr>
      <w:r>
        <w:rPr>
          <w:rFonts w:hint="eastAsia" w:ascii="仿宋_GB2312" w:hAnsi="宋体" w:eastAsia="仿宋_GB2312"/>
          <w:sz w:val="24"/>
          <w:highlight w:val="none"/>
        </w:rPr>
        <w:t>迟交或延误项目进度3周以上，每天违约金金额为合同价格的1%。</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迟交违约金的总金额不超过合同总价的20%。合同系统和服务延误发生的违约金总金额不超过合同总价的</w:t>
      </w:r>
      <w:r>
        <w:rPr>
          <w:rFonts w:ascii="仿宋_GB2312" w:hAnsi="宋体" w:eastAsia="仿宋_GB2312"/>
          <w:sz w:val="24"/>
          <w:highlight w:val="none"/>
        </w:rPr>
        <w:t>3</w:t>
      </w:r>
      <w:r>
        <w:rPr>
          <w:rFonts w:hint="eastAsia" w:ascii="仿宋_GB2312" w:hAnsi="宋体" w:eastAsia="仿宋_GB2312"/>
          <w:sz w:val="24"/>
          <w:highlight w:val="none"/>
        </w:rPr>
        <w:t>0%。但所有违约金不超过合同总价的</w:t>
      </w:r>
      <w:r>
        <w:rPr>
          <w:rFonts w:ascii="仿宋_GB2312" w:hAnsi="宋体" w:eastAsia="仿宋_GB2312"/>
          <w:sz w:val="24"/>
          <w:highlight w:val="none"/>
        </w:rPr>
        <w:t>35</w:t>
      </w:r>
      <w:r>
        <w:rPr>
          <w:rFonts w:hint="eastAsia" w:ascii="仿宋_GB2312" w:hAnsi="宋体" w:eastAsia="仿宋_GB2312"/>
          <w:sz w:val="24"/>
          <w:highlight w:val="none"/>
        </w:rPr>
        <w:t>%。</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乙方支付迟交违约金，并不解除乙方按照合同继续履行合同义务。</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如果由于乙方责任未能按本合同规定按时交付关键技术资料时，则每迟交一天，乙方支付违约金1万元/件。</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如果由乙方原因发生项目质量和安全事件，每发生一次所造成的的损失由乙方全部承担，并扣除合同总价的2%违约赔偿金。</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乙方保证具备签订本合同的主体资格，并具有履行本合同项下全部责任和义务的能力。</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乙方保证及时将履行合同过程中出现的有关情况向甲方做出书面报告等。</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依照法律、法规及本合同规定应由乙方履行的其他责任和义务。</w:t>
      </w:r>
    </w:p>
    <w:p>
      <w:pPr>
        <w:pStyle w:val="9"/>
        <w:rPr>
          <w:rFonts w:hint="eastAsia" w:ascii="仿宋_GB2312" w:hAnsi="宋体" w:eastAsia="仿宋_GB2312"/>
          <w:sz w:val="24"/>
          <w:highlight w:val="none"/>
        </w:rPr>
      </w:pPr>
    </w:p>
    <w:p>
      <w:pPr>
        <w:pStyle w:val="4"/>
        <w:numPr>
          <w:ilvl w:val="0"/>
          <w:numId w:val="7"/>
        </w:numPr>
        <w:spacing w:after="0"/>
        <w:rPr>
          <w:rFonts w:hint="eastAsia"/>
          <w:highlight w:val="none"/>
        </w:rPr>
      </w:pPr>
      <w:bookmarkStart w:id="174" w:name="_Toc19283"/>
      <w:bookmarkStart w:id="175" w:name="_Toc4441"/>
      <w:r>
        <w:rPr>
          <w:rFonts w:hint="eastAsia"/>
          <w:highlight w:val="none"/>
        </w:rPr>
        <w:t>合同的变更、修改与违约</w:t>
      </w:r>
      <w:bookmarkEnd w:id="174"/>
      <w:bookmarkEnd w:id="175"/>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一经签订，合同双方均不得擅自对本合同的内容(包括附件)作任何单方修改。但任何一方均可以对合同内容以书面形式提出修改变更、取消或补充的建议。双方同意后经双方法定代表人或其授权代理人签字并加盖法人印章后生效，同时将修改后有关部分抄送原合同有关单位。如果双方共同认为该项修改会对合同价格和交货进度有重大影响时，一方应在收到上述修改通知书后的两个工作日内，提出影响合同价格或交货期的详细说明。</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果乙方有违反或拒绝履行本合同规定的行为时，甲方将书面通知乙方，乙方在接到通知书后两个工作日内做出纠正。否则，甲方将保留暂停履行本合同一部分或全部的权利。对于这种暂停，甲方将不出具书面通知，由此而发生的一切费用、损失和索赔将由乙方负担。</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如果甲方行使暂停履行合同的权利后，甲方有权停付到期应向乙方支付暂停部分的款项，并有权将在履行合同中预付给乙方的暂停部分款项索回。</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在合同履行期间，若因甲方原因要求对合同项目的实施进行了重大的变更，甲方应考虑乙方的咨询业务周期及由此而发生的费用变化；乙方接到甲方的书面通知后，应充分考虑甲方意见，与甲方一起尽早完成合同修改。</w:t>
      </w:r>
    </w:p>
    <w:p>
      <w:pPr>
        <w:pStyle w:val="4"/>
        <w:numPr>
          <w:ilvl w:val="0"/>
          <w:numId w:val="7"/>
        </w:numPr>
        <w:spacing w:after="0"/>
        <w:rPr>
          <w:rFonts w:hint="eastAsia"/>
          <w:highlight w:val="none"/>
        </w:rPr>
      </w:pPr>
      <w:bookmarkStart w:id="176" w:name="_Toc15994"/>
      <w:bookmarkStart w:id="177" w:name="_Toc25110"/>
      <w:r>
        <w:rPr>
          <w:rFonts w:hint="eastAsia"/>
          <w:highlight w:val="none"/>
        </w:rPr>
        <w:t>不可抗力</w:t>
      </w:r>
      <w:bookmarkEnd w:id="176"/>
      <w:bookmarkEnd w:id="177"/>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不可抗力是合同签字并加盖法人印章生效后发生的非有关方所能控制的，并非合同方过失的、无法中止的、不能预防的社会和自然事件，如严重的自然灾害(地震、火灾等)、战争、叛乱等。合同双方的任何一方，由于不可抗力而影响合同义务履行时，则延迟合同义务的期限相当于不可抗力事件的时间（或由甲乙双方共同商定），但不能因为不可抗力的延迟而调整价格。</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受到不可抗力影响的一方应在不可抗力事件发生后，10日内将所发生的不可抗力事件的情况书面通知另一方确认，受影响的一方同时应尽量设法缩小这种影响和由此而引起的延误，一旦不可抗力的影响消除后，应将此情况立即通知对方。</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如不可抗力事件的影响持续超期60天，甲方有权终止合同。</w:t>
      </w:r>
    </w:p>
    <w:p>
      <w:pPr>
        <w:pStyle w:val="4"/>
        <w:numPr>
          <w:ilvl w:val="0"/>
          <w:numId w:val="7"/>
        </w:numPr>
        <w:spacing w:after="0"/>
        <w:rPr>
          <w:rFonts w:hint="eastAsia"/>
          <w:highlight w:val="none"/>
        </w:rPr>
      </w:pPr>
      <w:bookmarkStart w:id="178" w:name="_Toc13103"/>
      <w:bookmarkStart w:id="179" w:name="_Toc29689"/>
      <w:r>
        <w:rPr>
          <w:rFonts w:hint="eastAsia"/>
          <w:highlight w:val="none"/>
        </w:rPr>
        <w:t>合同争议的解决</w:t>
      </w:r>
      <w:bookmarkEnd w:id="178"/>
      <w:bookmarkEnd w:id="179"/>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本合同适用法律为中华人民共和国法律。</w:t>
      </w:r>
    </w:p>
    <w:p>
      <w:pPr>
        <w:numPr>
          <w:ilvl w:val="1"/>
          <w:numId w:val="8"/>
        </w:numPr>
        <w:spacing w:line="360" w:lineRule="auto"/>
        <w:rPr>
          <w:rFonts w:hint="eastAsia" w:ascii="仿宋_GB2312" w:hAnsi="宋体" w:eastAsia="仿宋_GB2312"/>
          <w:sz w:val="24"/>
          <w:highlight w:val="none"/>
        </w:rPr>
      </w:pPr>
      <w:r>
        <w:rPr>
          <w:rFonts w:hint="eastAsia" w:ascii="仿宋_GB2312" w:hAnsi="仿宋_GB2312" w:eastAsia="仿宋_GB2312" w:cs="仿宋_GB2312"/>
          <w:bCs/>
          <w:sz w:val="24"/>
          <w:szCs w:val="24"/>
          <w:highlight w:val="none"/>
        </w:rPr>
        <w:t>因履行本协议发生的争议，双方可友好协商解决；如协商解决不成，可在甲方所在地人民法院诉讼</w:t>
      </w:r>
      <w:r>
        <w:rPr>
          <w:rFonts w:hint="eastAsia" w:ascii="仿宋_GB2312" w:hAnsi="宋体" w:eastAsia="仿宋_GB2312"/>
          <w:sz w:val="24"/>
          <w:highlight w:val="none"/>
        </w:rPr>
        <w:t>。</w:t>
      </w:r>
    </w:p>
    <w:p>
      <w:pPr>
        <w:pStyle w:val="4"/>
        <w:numPr>
          <w:ilvl w:val="0"/>
          <w:numId w:val="7"/>
        </w:numPr>
        <w:spacing w:after="0"/>
        <w:rPr>
          <w:rFonts w:hint="eastAsia"/>
          <w:highlight w:val="none"/>
        </w:rPr>
      </w:pPr>
      <w:bookmarkStart w:id="180" w:name="_Toc2174"/>
      <w:bookmarkStart w:id="181" w:name="_Toc11897"/>
      <w:r>
        <w:rPr>
          <w:rFonts w:hint="eastAsia"/>
          <w:highlight w:val="none"/>
        </w:rPr>
        <w:t>税项</w:t>
      </w:r>
      <w:bookmarkEnd w:id="180"/>
      <w:bookmarkEnd w:id="181"/>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与履行合同有关的由中国政府根据现行税收法向甲方征收的全部税款应由甲方负担，合同总价中已包括所有税收。</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与履行合同有关的由中国政府根据现行税收法向乙方征收的全部税款应由乙方负担。</w:t>
      </w:r>
    </w:p>
    <w:p>
      <w:pPr>
        <w:pStyle w:val="4"/>
        <w:numPr>
          <w:ilvl w:val="0"/>
          <w:numId w:val="7"/>
        </w:numPr>
        <w:spacing w:after="0"/>
        <w:rPr>
          <w:rFonts w:hint="eastAsia"/>
          <w:highlight w:val="none"/>
        </w:rPr>
      </w:pPr>
      <w:bookmarkStart w:id="182" w:name="_Toc1871"/>
      <w:bookmarkStart w:id="183" w:name="_Toc18005"/>
      <w:r>
        <w:rPr>
          <w:rFonts w:hint="eastAsia"/>
          <w:highlight w:val="none"/>
        </w:rPr>
        <w:t>知识产权及保密义务</w:t>
      </w:r>
      <w:bookmarkEnd w:id="182"/>
      <w:bookmarkEnd w:id="183"/>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知识产权</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本合同项下，乙方开发的软件及相关文件和文档，甲方享有永久使用权；与本系统相关的且由甲方提供的技术信息开发而新产生的功能、商业秘密信息、技术资料和技术诀窍等甲方所有，甲方享有永久使用权。 </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甲方对乙方所授予许可的软件有向所属子企业分许可的权利，且甲方不再向乙方支付任何费用。</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乙方提供给甲方的来自于或属于第三方的软件，甲方在使用时，应当依照乙方与第三方对该软件使用的约定依法使用。乙方应将该等约定的书面文件的复印件交甲方备案、存档。</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甲方在本合同项下的任何权利不因其发生收购、兼并、重组而发生变化。</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乙方在本项目中所使用或者所涉及的第三方系统，若出现技术、经济或法律上的纠纷，应由乙方全面承担并全权解决，甲方对此不承担任何责任。</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乙方提供给甲方的软件系统，甲方有权供其子企业推广使用，乙方为甲方二次开发的功能归甲方所有。</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保密义务</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乙方对甲方提供的所有业务技术资料、文档，有责任对第三方保密。</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任何一方在本合同履行的过程中，或为履行本合同的需要，首次从对方所获得的、有关对方或属于对方的商业秘密包括经营管理的方式方法与资料、系统技术资料、客户名单、企业战略及其他被认为是商业秘密的信息，未经对方同意，不得泄露给任何第三方。乙方不得以任何方式公开甲方的业务技术资料和文档，尤其是不得将冠有甲方名头的文件公开在互联网或报刊上。</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上述保密信息的获取方只能将该信息用于服务于本合同规定的项目，而且只能由参与项目开发的相应人员使用；没有必要接触该类信息的人员，不得接触。</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获取对方商业秘密的一方，应当采取适当有效的方式保护所获取的商业秘密；除非由对方的书面许可，该获取的商业秘密不得对外透露。</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所有保密信息在本合同的项目服务已经结束或保密信息所有方要求归还或销毁的情况下，包括复印件在内的所有现有保密信息根据所有方要求进行归还或销毁。</w:t>
      </w:r>
    </w:p>
    <w:p>
      <w:pPr>
        <w:numPr>
          <w:ilvl w:val="2"/>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甲方有权将乙方的技术服务方案以及乙方所提供的一切有关合同项目的计划、使用说明书等资料复印分发与本项目有关的各方。</w:t>
      </w:r>
    </w:p>
    <w:p>
      <w:pPr>
        <w:pStyle w:val="4"/>
        <w:numPr>
          <w:ilvl w:val="0"/>
          <w:numId w:val="7"/>
        </w:numPr>
        <w:spacing w:after="0"/>
        <w:rPr>
          <w:rFonts w:hint="eastAsia"/>
          <w:highlight w:val="none"/>
        </w:rPr>
      </w:pPr>
      <w:bookmarkStart w:id="184" w:name="_Toc19659"/>
      <w:bookmarkStart w:id="185" w:name="_Toc22493"/>
      <w:r>
        <w:rPr>
          <w:rFonts w:hint="eastAsia"/>
          <w:highlight w:val="none"/>
        </w:rPr>
        <w:t>其他</w:t>
      </w:r>
      <w:bookmarkEnd w:id="184"/>
      <w:bookmarkEnd w:id="185"/>
    </w:p>
    <w:p>
      <w:pPr>
        <w:pStyle w:val="37"/>
        <w:numPr>
          <w:ilvl w:val="0"/>
          <w:numId w:val="8"/>
        </w:numPr>
        <w:spacing w:line="360" w:lineRule="auto"/>
        <w:ind w:firstLineChars="0"/>
        <w:rPr>
          <w:rFonts w:hint="eastAsia" w:ascii="仿宋_GB2312" w:hAnsi="宋体" w:eastAsia="仿宋_GB2312"/>
          <w:vanish/>
          <w:sz w:val="24"/>
          <w:highlight w:val="none"/>
        </w:rPr>
      </w:pP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本合同自双方法定代表人或其授权代表签字并加盖法人印章之日起生效。</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本合同有效期从合同生效之日起到</w:t>
      </w:r>
      <w:r>
        <w:rPr>
          <w:rFonts w:hint="eastAsia" w:ascii="仿宋_GB2312" w:hAnsi="宋体" w:eastAsia="仿宋_GB2312"/>
          <w:sz w:val="24"/>
          <w:highlight w:val="none"/>
          <w:lang w:val="en-US" w:eastAsia="zh-CN"/>
        </w:rPr>
        <w:t>系统终验</w:t>
      </w:r>
      <w:r>
        <w:rPr>
          <w:rFonts w:hint="eastAsia" w:ascii="仿宋_GB2312" w:hAnsi="宋体" w:eastAsia="仿宋_GB2312"/>
          <w:sz w:val="24"/>
          <w:highlight w:val="none"/>
        </w:rPr>
        <w:t>时止，如有索赔则完成理赔后止。</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本合同一式</w:t>
      </w:r>
      <w:r>
        <w:rPr>
          <w:rFonts w:hint="eastAsia" w:ascii="仿宋_GB2312" w:hAnsi="宋体" w:eastAsia="仿宋_GB2312"/>
          <w:sz w:val="24"/>
          <w:highlight w:val="none"/>
          <w:u w:val="single"/>
        </w:rPr>
        <w:t>肆</w:t>
      </w:r>
      <w:r>
        <w:rPr>
          <w:rFonts w:hint="eastAsia" w:ascii="仿宋_GB2312" w:hAnsi="宋体" w:eastAsia="仿宋_GB2312"/>
          <w:sz w:val="24"/>
          <w:highlight w:val="none"/>
        </w:rPr>
        <w:t>份，甲方执</w:t>
      </w:r>
      <w:r>
        <w:rPr>
          <w:rFonts w:hint="eastAsia" w:ascii="仿宋_GB2312" w:hAnsi="宋体" w:eastAsia="仿宋_GB2312"/>
          <w:sz w:val="24"/>
          <w:highlight w:val="none"/>
          <w:u w:val="single"/>
        </w:rPr>
        <w:t>叁</w:t>
      </w:r>
      <w:r>
        <w:rPr>
          <w:rFonts w:hint="eastAsia" w:ascii="仿宋_GB2312" w:hAnsi="宋体" w:eastAsia="仿宋_GB2312"/>
          <w:sz w:val="24"/>
          <w:highlight w:val="none"/>
        </w:rPr>
        <w:t>份，乙方执</w:t>
      </w:r>
      <w:r>
        <w:rPr>
          <w:rFonts w:hint="eastAsia" w:ascii="仿宋_GB2312" w:hAnsi="宋体" w:eastAsia="仿宋_GB2312"/>
          <w:sz w:val="24"/>
          <w:highlight w:val="none"/>
          <w:u w:val="single"/>
        </w:rPr>
        <w:t>壹</w:t>
      </w:r>
      <w:r>
        <w:rPr>
          <w:rFonts w:hint="eastAsia" w:ascii="仿宋_GB2312" w:hAnsi="宋体" w:eastAsia="仿宋_GB2312"/>
          <w:sz w:val="24"/>
          <w:highlight w:val="none"/>
        </w:rPr>
        <w:t>份。</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双方任何一方未取得另一方事先书面同意前，不得将本合同项下的部分或全部权利或义务转让给第三方。</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合同双方应指定两名授权代表，分别负责直接处理本合同的技术和商务问题。</w:t>
      </w:r>
    </w:p>
    <w:p>
      <w:pPr>
        <w:spacing w:line="360" w:lineRule="auto"/>
        <w:ind w:left="652"/>
        <w:rPr>
          <w:rFonts w:hint="eastAsia" w:ascii="仿宋_GB2312" w:hAnsi="宋体" w:eastAsia="仿宋_GB2312"/>
          <w:sz w:val="24"/>
          <w:highlight w:val="none"/>
        </w:rPr>
      </w:pPr>
      <w:r>
        <w:rPr>
          <w:rFonts w:hint="eastAsia" w:ascii="仿宋_GB2312" w:hAnsi="宋体" w:eastAsia="仿宋_GB2312"/>
          <w:sz w:val="24"/>
          <w:highlight w:val="none"/>
        </w:rPr>
        <w:t>乙方联系人：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联系方式：</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w:t>
      </w:r>
    </w:p>
    <w:p>
      <w:pPr>
        <w:spacing w:line="360" w:lineRule="auto"/>
        <w:ind w:left="652"/>
        <w:rPr>
          <w:rFonts w:hint="eastAsia" w:ascii="仿宋_GB2312" w:hAnsi="宋体" w:eastAsia="仿宋_GB2312"/>
          <w:sz w:val="24"/>
          <w:highlight w:val="none"/>
        </w:rPr>
      </w:pPr>
      <w:r>
        <w:rPr>
          <w:rFonts w:hint="eastAsia" w:ascii="仿宋_GB2312" w:hAnsi="宋体" w:eastAsia="仿宋_GB2312"/>
          <w:sz w:val="24"/>
          <w:highlight w:val="none"/>
        </w:rPr>
        <w:t>甲方联系人：</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联系方式：</w:t>
      </w:r>
      <w:r>
        <w:rPr>
          <w:rFonts w:hint="eastAsia" w:ascii="仿宋_GB2312" w:hAnsi="宋体" w:eastAsia="仿宋_GB2312"/>
          <w:sz w:val="24"/>
          <w:highlight w:val="none"/>
          <w:u w:val="single"/>
        </w:rPr>
        <w:t xml:space="preserve"> </w:t>
      </w:r>
      <w:r>
        <w:rPr>
          <w:rFonts w:hint="eastAsia" w:ascii="宋体" w:hAnsi="宋体" w:cs="宋体"/>
          <w:sz w:val="24"/>
          <w:szCs w:val="24"/>
          <w:highlight w:val="none"/>
          <w:u w:val="single"/>
        </w:rPr>
        <w:t xml:space="preserve">             </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本合同未尽事宜，由甲乙双方通过友好协商解决。</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本合同文件包括：</w:t>
      </w:r>
    </w:p>
    <w:p>
      <w:pPr>
        <w:numPr>
          <w:ilvl w:val="0"/>
          <w:numId w:val="13"/>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竞谈文件及补充（如果有）；</w:t>
      </w:r>
    </w:p>
    <w:p>
      <w:pPr>
        <w:numPr>
          <w:ilvl w:val="0"/>
          <w:numId w:val="13"/>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中标人的竞谈响应文件及补充；</w:t>
      </w:r>
    </w:p>
    <w:p>
      <w:pPr>
        <w:numPr>
          <w:ilvl w:val="0"/>
          <w:numId w:val="13"/>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中标人的澄清文件；</w:t>
      </w:r>
    </w:p>
    <w:p>
      <w:pPr>
        <w:numPr>
          <w:ilvl w:val="0"/>
          <w:numId w:val="13"/>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本合同条款；</w:t>
      </w:r>
    </w:p>
    <w:p>
      <w:pPr>
        <w:numPr>
          <w:ilvl w:val="0"/>
          <w:numId w:val="13"/>
        </w:numPr>
        <w:spacing w:line="360" w:lineRule="auto"/>
        <w:ind w:left="823" w:leftChars="200" w:hanging="403"/>
        <w:rPr>
          <w:rFonts w:hint="eastAsia" w:ascii="仿宋_GB2312" w:hAnsi="宋体" w:eastAsia="仿宋_GB2312"/>
          <w:sz w:val="24"/>
          <w:highlight w:val="none"/>
        </w:rPr>
      </w:pPr>
      <w:r>
        <w:rPr>
          <w:rFonts w:hint="eastAsia" w:ascii="仿宋_GB2312" w:hAnsi="宋体" w:eastAsia="仿宋_GB2312"/>
          <w:sz w:val="24"/>
          <w:highlight w:val="none"/>
        </w:rPr>
        <w:t>其它补充资料、会议纪要及双方签署的其它书面文件等。</w:t>
      </w:r>
    </w:p>
    <w:p>
      <w:pPr>
        <w:spacing w:line="360" w:lineRule="auto"/>
        <w:ind w:firstLine="480" w:firstLineChars="200"/>
        <w:rPr>
          <w:rFonts w:hint="eastAsia" w:ascii="仿宋_GB2312" w:hAnsi="宋体" w:eastAsia="仿宋_GB2312"/>
          <w:bCs/>
          <w:sz w:val="24"/>
          <w:highlight w:val="none"/>
        </w:rPr>
      </w:pPr>
      <w:r>
        <w:rPr>
          <w:rFonts w:hint="eastAsia" w:ascii="仿宋_GB2312" w:hAnsi="宋体" w:eastAsia="仿宋_GB2312"/>
          <w:bCs/>
          <w:sz w:val="24"/>
          <w:highlight w:val="none"/>
        </w:rPr>
        <w:t>以上合同文件各部分之间是相互补充，说明的，前后文件有不一致的地方，以时间在后的为准；图纸和文字发生矛盾时，以文字说明为准；如标准不一致的，以要求较高的为准。</w:t>
      </w:r>
    </w:p>
    <w:p>
      <w:pPr>
        <w:spacing w:line="360" w:lineRule="auto"/>
        <w:ind w:firstLine="480" w:firstLineChars="200"/>
        <w:rPr>
          <w:rFonts w:hint="eastAsia" w:ascii="仿宋_GB2312" w:hAnsi="宋体" w:eastAsia="仿宋_GB2312"/>
          <w:bCs/>
          <w:sz w:val="24"/>
          <w:highlight w:val="none"/>
        </w:rPr>
      </w:pPr>
      <w:r>
        <w:rPr>
          <w:rFonts w:hint="eastAsia" w:ascii="仿宋_GB2312" w:hAnsi="宋体" w:eastAsia="仿宋_GB2312"/>
          <w:bCs/>
          <w:sz w:val="24"/>
          <w:highlight w:val="none"/>
        </w:rPr>
        <w:t>本合同所包括的附件，是本合同不可分割的一部分，具有同等的法律效力。</w:t>
      </w:r>
    </w:p>
    <w:p>
      <w:pPr>
        <w:numPr>
          <w:ilvl w:val="1"/>
          <w:numId w:val="8"/>
        </w:numPr>
        <w:spacing w:line="360" w:lineRule="auto"/>
        <w:rPr>
          <w:rFonts w:hint="eastAsia" w:ascii="仿宋_GB2312" w:hAnsi="宋体" w:eastAsia="仿宋_GB2312"/>
          <w:sz w:val="24"/>
          <w:highlight w:val="none"/>
        </w:rPr>
      </w:pPr>
      <w:r>
        <w:rPr>
          <w:rFonts w:hint="eastAsia" w:ascii="仿宋_GB2312" w:hAnsi="宋体" w:eastAsia="仿宋_GB2312"/>
          <w:sz w:val="24"/>
          <w:highlight w:val="none"/>
        </w:rPr>
        <w:t xml:space="preserve"> 本合同双方的联系信息如下：</w:t>
      </w:r>
    </w:p>
    <w:tbl>
      <w:tblPr>
        <w:tblStyle w:val="20"/>
        <w:tblW w:w="8187" w:type="dxa"/>
        <w:tblInd w:w="0" w:type="dxa"/>
        <w:tblLayout w:type="autofit"/>
        <w:tblCellMar>
          <w:top w:w="0" w:type="dxa"/>
          <w:left w:w="108" w:type="dxa"/>
          <w:bottom w:w="0" w:type="dxa"/>
          <w:right w:w="108" w:type="dxa"/>
        </w:tblCellMar>
      </w:tblPr>
      <w:tblGrid>
        <w:gridCol w:w="1101"/>
        <w:gridCol w:w="3685"/>
        <w:gridCol w:w="3401"/>
      </w:tblGrid>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甲方：</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浙江中水数建科技有限公司</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乙方：</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地址：</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sz w:val="24"/>
                <w:highlight w:val="none"/>
              </w:rPr>
              <w:t>杭州市西湖区灯彩街321号</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地址：</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邮编：</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300014</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邮编：</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电话：</w:t>
            </w:r>
          </w:p>
        </w:tc>
        <w:tc>
          <w:tcPr>
            <w:tcW w:w="3685" w:type="dxa"/>
          </w:tcPr>
          <w:p>
            <w:pPr>
              <w:snapToGrid w:val="0"/>
              <w:spacing w:line="360" w:lineRule="auto"/>
              <w:rPr>
                <w:rFonts w:hint="eastAsia" w:ascii="仿宋_GB2312" w:hAnsi="宋体" w:eastAsia="仿宋_GB2312"/>
                <w:iCs/>
                <w:sz w:val="24"/>
                <w:highlight w:val="none"/>
              </w:rPr>
            </w:pP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电话：</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传真：</w:t>
            </w:r>
          </w:p>
        </w:tc>
        <w:tc>
          <w:tcPr>
            <w:tcW w:w="3685" w:type="dxa"/>
          </w:tcPr>
          <w:p>
            <w:pPr>
              <w:snapToGrid w:val="0"/>
              <w:spacing w:line="360" w:lineRule="auto"/>
              <w:rPr>
                <w:rFonts w:hint="eastAsia" w:ascii="仿宋_GB2312" w:hAnsi="宋体" w:eastAsia="仿宋_GB2312"/>
                <w:iCs/>
                <w:sz w:val="24"/>
                <w:highlight w:val="none"/>
              </w:rPr>
            </w:pP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传真：</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开户行：</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工商银行杭州厚仁路支行</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开户行：</w:t>
            </w:r>
          </w:p>
        </w:tc>
      </w:tr>
      <w:tr>
        <w:tblPrEx>
          <w:tblCellMar>
            <w:top w:w="0" w:type="dxa"/>
            <w:left w:w="108" w:type="dxa"/>
            <w:bottom w:w="0" w:type="dxa"/>
            <w:right w:w="108" w:type="dxa"/>
          </w:tblCellMar>
        </w:tblPrEx>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账号：</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1202006209000060315</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账号：</w:t>
            </w:r>
          </w:p>
        </w:tc>
      </w:tr>
      <w:tr>
        <w:tblPrEx>
          <w:tblCellMar>
            <w:top w:w="0" w:type="dxa"/>
            <w:left w:w="108" w:type="dxa"/>
            <w:bottom w:w="0" w:type="dxa"/>
            <w:right w:w="108" w:type="dxa"/>
          </w:tblCellMar>
        </w:tblPrEx>
        <w:trPr>
          <w:trHeight w:val="74" w:hRule="atLeast"/>
        </w:trPr>
        <w:tc>
          <w:tcPr>
            <w:tcW w:w="11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税号：</w:t>
            </w:r>
          </w:p>
        </w:tc>
        <w:tc>
          <w:tcPr>
            <w:tcW w:w="3685"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cs="Times New Roman"/>
                <w:iCs/>
                <w:sz w:val="24"/>
                <w:highlight w:val="none"/>
              </w:rPr>
              <w:t>91330000779378102D</w:t>
            </w:r>
          </w:p>
        </w:tc>
        <w:tc>
          <w:tcPr>
            <w:tcW w:w="3401" w:type="dxa"/>
          </w:tcPr>
          <w:p>
            <w:pPr>
              <w:snapToGrid w:val="0"/>
              <w:spacing w:line="360" w:lineRule="auto"/>
              <w:rPr>
                <w:rFonts w:hint="eastAsia" w:ascii="仿宋_GB2312" w:hAnsi="宋体" w:eastAsia="仿宋_GB2312"/>
                <w:iCs/>
                <w:sz w:val="24"/>
                <w:highlight w:val="none"/>
              </w:rPr>
            </w:pPr>
            <w:r>
              <w:rPr>
                <w:rFonts w:hint="eastAsia" w:ascii="仿宋_GB2312" w:hAnsi="宋体" w:eastAsia="仿宋_GB2312"/>
                <w:iCs/>
                <w:sz w:val="24"/>
                <w:highlight w:val="none"/>
              </w:rPr>
              <w:t>税号：</w:t>
            </w:r>
          </w:p>
        </w:tc>
      </w:tr>
    </w:tbl>
    <w:p>
      <w:pPr>
        <w:pStyle w:val="4"/>
        <w:numPr>
          <w:ilvl w:val="0"/>
          <w:numId w:val="7"/>
        </w:numPr>
        <w:spacing w:after="0"/>
        <w:rPr>
          <w:rFonts w:hint="eastAsia"/>
          <w:highlight w:val="none"/>
        </w:rPr>
      </w:pPr>
      <w:bookmarkStart w:id="186" w:name="_Toc8934"/>
      <w:bookmarkStart w:id="187" w:name="_Toc25458"/>
      <w:r>
        <w:rPr>
          <w:rFonts w:hint="eastAsia"/>
          <w:highlight w:val="none"/>
        </w:rPr>
        <w:t>附件</w:t>
      </w:r>
      <w:bookmarkEnd w:id="186"/>
      <w:bookmarkEnd w:id="187"/>
    </w:p>
    <w:p>
      <w:pPr>
        <w:spacing w:line="360" w:lineRule="auto"/>
        <w:ind w:firstLine="480" w:firstLineChars="200"/>
        <w:rPr>
          <w:rFonts w:hint="eastAsia" w:ascii="仿宋_GB2312" w:hAnsi="宋体" w:eastAsia="仿宋_GB2312"/>
          <w:bCs/>
          <w:sz w:val="24"/>
          <w:highlight w:val="none"/>
        </w:rPr>
      </w:pPr>
      <w:r>
        <w:rPr>
          <w:rFonts w:hint="eastAsia" w:ascii="仿宋_GB2312" w:hAnsi="宋体" w:eastAsia="仿宋_GB2312"/>
          <w:bCs/>
          <w:sz w:val="24"/>
          <w:highlight w:val="none"/>
        </w:rPr>
        <w:t>附件一：合同标的清单及分项报价表</w:t>
      </w:r>
    </w:p>
    <w:p>
      <w:pPr>
        <w:spacing w:line="360" w:lineRule="auto"/>
        <w:ind w:firstLine="480" w:firstLineChars="200"/>
        <w:rPr>
          <w:rFonts w:hint="eastAsia" w:ascii="仿宋_GB2312" w:hAnsi="宋体" w:eastAsia="仿宋_GB2312"/>
          <w:bCs/>
          <w:sz w:val="24"/>
          <w:highlight w:val="none"/>
        </w:rPr>
      </w:pPr>
      <w:r>
        <w:rPr>
          <w:rFonts w:hint="eastAsia" w:ascii="仿宋_GB2312" w:hAnsi="宋体" w:eastAsia="仿宋_GB2312"/>
          <w:bCs/>
          <w:sz w:val="24"/>
          <w:highlight w:val="none"/>
        </w:rPr>
        <w:t>附件二：保密协议</w:t>
      </w:r>
    </w:p>
    <w:p>
      <w:pPr>
        <w:spacing w:line="360" w:lineRule="auto"/>
        <w:ind w:firstLine="480" w:firstLineChars="200"/>
        <w:rPr>
          <w:rFonts w:hint="eastAsia" w:ascii="仿宋_GB2312" w:hAnsi="宋体" w:eastAsia="仿宋_GB2312"/>
          <w:bCs/>
          <w:sz w:val="24"/>
          <w:highlight w:val="none"/>
        </w:rPr>
      </w:pPr>
      <w:r>
        <w:rPr>
          <w:rFonts w:hint="eastAsia" w:ascii="仿宋_GB2312" w:hAnsi="宋体" w:eastAsia="仿宋_GB2312"/>
          <w:bCs/>
          <w:sz w:val="24"/>
          <w:highlight w:val="none"/>
        </w:rPr>
        <w:t>附件三：保廉合同</w:t>
      </w:r>
    </w:p>
    <w:p>
      <w:pPr>
        <w:spacing w:line="360" w:lineRule="auto"/>
        <w:rPr>
          <w:rFonts w:hint="eastAsia" w:ascii="仿宋_GB2312" w:hAnsi="宋体" w:eastAsia="仿宋_GB2312"/>
          <w:bCs/>
          <w:sz w:val="24"/>
          <w:highlight w:val="none"/>
        </w:rPr>
      </w:pPr>
    </w:p>
    <w:p>
      <w:pPr>
        <w:rPr>
          <w:highlight w:val="none"/>
        </w:rPr>
      </w:pPr>
    </w:p>
    <w:p>
      <w:pPr>
        <w:spacing w:line="360" w:lineRule="auto"/>
        <w:ind w:left="599" w:hanging="599"/>
        <w:rPr>
          <w:rFonts w:hint="eastAsia" w:ascii="仿宋_GB2312" w:hAnsi="宋体" w:eastAsia="仿宋_GB2312"/>
          <w:b/>
          <w:sz w:val="24"/>
          <w:highlight w:val="none"/>
        </w:rPr>
      </w:pPr>
      <w:r>
        <w:rPr>
          <w:rFonts w:hint="eastAsia" w:ascii="仿宋_GB2312" w:hAnsi="宋体" w:eastAsia="仿宋_GB2312"/>
          <w:b/>
          <w:sz w:val="24"/>
          <w:highlight w:val="none"/>
        </w:rPr>
        <w:t>（本页无正文）</w:t>
      </w:r>
    </w:p>
    <w:p>
      <w:pPr>
        <w:spacing w:line="360" w:lineRule="auto"/>
        <w:ind w:left="599" w:hanging="599"/>
        <w:rPr>
          <w:rFonts w:hint="eastAsia" w:ascii="仿宋_GB2312" w:hAnsi="宋体" w:eastAsia="仿宋_GB2312"/>
          <w:b/>
          <w:sz w:val="24"/>
          <w:highlight w:val="none"/>
        </w:rPr>
      </w:pPr>
    </w:p>
    <w:p>
      <w:pPr>
        <w:spacing w:line="360" w:lineRule="auto"/>
        <w:ind w:left="599" w:hanging="599"/>
        <w:rPr>
          <w:rFonts w:hint="eastAsia" w:ascii="仿宋_GB2312" w:hAnsi="宋体" w:eastAsia="仿宋_GB2312"/>
          <w:b/>
          <w:sz w:val="24"/>
          <w:highlight w:val="none"/>
        </w:rPr>
      </w:pPr>
    </w:p>
    <w:p>
      <w:pPr>
        <w:spacing w:line="360" w:lineRule="auto"/>
        <w:ind w:left="599" w:hanging="599"/>
        <w:rPr>
          <w:rFonts w:hint="eastAsia" w:ascii="仿宋_GB2312" w:hAnsi="宋体" w:eastAsia="仿宋_GB2312"/>
          <w:b/>
          <w:sz w:val="24"/>
          <w:highlight w:val="none"/>
        </w:rPr>
      </w:pPr>
    </w:p>
    <w:p>
      <w:pPr>
        <w:spacing w:line="360" w:lineRule="auto"/>
        <w:rPr>
          <w:rFonts w:hint="eastAsia" w:ascii="仿宋_GB2312" w:hAnsi="宋体" w:eastAsia="仿宋_GB2312"/>
          <w:b/>
          <w:sz w:val="24"/>
          <w:highlight w:val="none"/>
        </w:rPr>
      </w:pPr>
      <w:r>
        <w:rPr>
          <w:rFonts w:hint="eastAsia" w:ascii="仿宋_GB2312" w:hAnsi="宋体" w:eastAsia="仿宋_GB2312"/>
          <w:b/>
          <w:sz w:val="24"/>
          <w:highlight w:val="none"/>
        </w:rPr>
        <w:t>甲方： 浙江中水数建科技有限公司           乙方：</w:t>
      </w:r>
    </w:p>
    <w:p>
      <w:pPr>
        <w:spacing w:line="360" w:lineRule="auto"/>
        <w:rPr>
          <w:rFonts w:hint="eastAsia" w:ascii="仿宋_GB2312" w:hAnsi="宋体" w:eastAsia="仿宋_GB2312"/>
          <w:b/>
          <w:sz w:val="24"/>
          <w:highlight w:val="none"/>
        </w:rPr>
      </w:pPr>
    </w:p>
    <w:p>
      <w:pPr>
        <w:spacing w:line="360" w:lineRule="auto"/>
        <w:rPr>
          <w:rFonts w:hint="eastAsia" w:ascii="仿宋_GB2312" w:hAnsi="宋体" w:eastAsia="仿宋_GB2312"/>
          <w:b/>
          <w:sz w:val="24"/>
          <w:highlight w:val="none"/>
        </w:rPr>
      </w:pPr>
      <w:r>
        <w:rPr>
          <w:rFonts w:hint="eastAsia" w:ascii="仿宋_GB2312" w:hAnsi="宋体" w:eastAsia="仿宋_GB2312"/>
          <w:b/>
          <w:sz w:val="24"/>
          <w:highlight w:val="none"/>
        </w:rPr>
        <w:t>(盖章)                                   (盖章)</w:t>
      </w:r>
    </w:p>
    <w:p>
      <w:pPr>
        <w:spacing w:line="360" w:lineRule="auto"/>
        <w:rPr>
          <w:rFonts w:hint="eastAsia" w:ascii="仿宋_GB2312" w:hAnsi="宋体" w:eastAsia="仿宋_GB2312"/>
          <w:b/>
          <w:sz w:val="24"/>
          <w:highlight w:val="none"/>
        </w:rPr>
      </w:pPr>
    </w:p>
    <w:p>
      <w:pPr>
        <w:spacing w:line="360" w:lineRule="auto"/>
        <w:rPr>
          <w:rFonts w:hint="eastAsia" w:ascii="仿宋_GB2312" w:hAnsi="宋体" w:eastAsia="仿宋_GB2312"/>
          <w:b/>
          <w:sz w:val="24"/>
          <w:highlight w:val="none"/>
        </w:rPr>
      </w:pPr>
    </w:p>
    <w:p>
      <w:pPr>
        <w:spacing w:line="360" w:lineRule="auto"/>
        <w:rPr>
          <w:rFonts w:hint="eastAsia" w:ascii="仿宋_GB2312" w:hAnsi="宋体" w:eastAsia="仿宋_GB2312"/>
          <w:b/>
          <w:sz w:val="24"/>
          <w:highlight w:val="none"/>
        </w:rPr>
      </w:pPr>
      <w:r>
        <w:rPr>
          <w:rFonts w:hint="eastAsia" w:ascii="仿宋_GB2312" w:hAnsi="宋体" w:eastAsia="仿宋_GB2312"/>
          <w:b/>
          <w:sz w:val="24"/>
          <w:highlight w:val="none"/>
        </w:rPr>
        <w:t>法定代表人/委托代理人：                 法定代表人/委托代理人：</w:t>
      </w:r>
    </w:p>
    <w:p>
      <w:pPr>
        <w:spacing w:line="360" w:lineRule="auto"/>
        <w:rPr>
          <w:rFonts w:hint="eastAsia" w:ascii="仿宋_GB2312" w:hAnsi="宋体" w:eastAsia="仿宋_GB2312"/>
          <w:b/>
          <w:sz w:val="24"/>
          <w:highlight w:val="none"/>
        </w:rPr>
      </w:pPr>
    </w:p>
    <w:p>
      <w:pPr>
        <w:spacing w:line="360" w:lineRule="auto"/>
        <w:ind w:firstLine="482" w:firstLineChars="200"/>
        <w:rPr>
          <w:rFonts w:hint="eastAsia" w:ascii="仿宋_GB2312" w:hAnsi="宋体" w:eastAsia="仿宋_GB2312"/>
          <w:b/>
          <w:sz w:val="24"/>
          <w:highlight w:val="none"/>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b/>
          <w:sz w:val="24"/>
          <w:highlight w:val="none"/>
        </w:rPr>
        <w:t>年  月  日                               年  月  日</w:t>
      </w:r>
    </w:p>
    <w:p>
      <w:pPr>
        <w:spacing w:line="360" w:lineRule="auto"/>
        <w:ind w:firstLine="482" w:firstLineChars="200"/>
        <w:rPr>
          <w:rFonts w:hint="eastAsia" w:ascii="仿宋_GB2312" w:hAnsi="宋体" w:eastAsia="仿宋_GB2312"/>
          <w:bCs/>
          <w:sz w:val="24"/>
          <w:highlight w:val="none"/>
        </w:rPr>
      </w:pPr>
      <w:r>
        <w:rPr>
          <w:rFonts w:hint="eastAsia" w:ascii="仿宋_GB2312" w:hAnsi="仿宋_GB2312" w:eastAsia="仿宋_GB2312"/>
          <w:b/>
          <w:bCs/>
          <w:sz w:val="24"/>
          <w:highlight w:val="none"/>
        </w:rPr>
        <w:t>附件一：</w:t>
      </w:r>
      <w:r>
        <w:rPr>
          <w:rFonts w:hint="eastAsia" w:ascii="仿宋_GB2312" w:hAnsi="宋体" w:eastAsia="仿宋_GB2312"/>
          <w:bCs/>
          <w:sz w:val="24"/>
          <w:highlight w:val="none"/>
        </w:rPr>
        <w:t>合同标的清单及分项报价表</w:t>
      </w:r>
    </w:p>
    <w:p>
      <w:pPr>
        <w:pStyle w:val="3"/>
        <w:ind w:right="164"/>
        <w:rPr>
          <w:highlight w:val="none"/>
        </w:rPr>
      </w:pPr>
    </w:p>
    <w:p>
      <w:pPr>
        <w:spacing w:line="360" w:lineRule="auto"/>
        <w:ind w:firstLine="482" w:firstLineChars="200"/>
        <w:rPr>
          <w:rFonts w:hint="eastAsia" w:ascii="仿宋_GB2312" w:hAnsi="仿宋_GB2312" w:eastAsia="仿宋_GB2312"/>
          <w:b/>
          <w:bCs/>
          <w:sz w:val="24"/>
          <w:highlight w:val="none"/>
        </w:rPr>
      </w:pPr>
    </w:p>
    <w:p>
      <w:pPr>
        <w:spacing w:line="360" w:lineRule="auto"/>
        <w:ind w:firstLine="482" w:firstLineChars="200"/>
        <w:rPr>
          <w:rFonts w:hint="eastAsia" w:ascii="仿宋_GB2312" w:hAnsi="仿宋_GB2312" w:eastAsia="仿宋_GB2312"/>
          <w:b/>
          <w:bCs/>
          <w:sz w:val="24"/>
          <w:highlight w:val="none"/>
        </w:rPr>
      </w:pPr>
    </w:p>
    <w:p>
      <w:pPr>
        <w:spacing w:line="360" w:lineRule="auto"/>
        <w:rPr>
          <w:rFonts w:hint="eastAsia" w:ascii="仿宋_GB2312" w:hAnsi="仿宋_GB2312" w:eastAsia="仿宋_GB2312"/>
          <w:b/>
          <w:bCs/>
          <w:sz w:val="24"/>
          <w:highlight w:val="none"/>
        </w:rPr>
      </w:pPr>
    </w:p>
    <w:p>
      <w:pPr>
        <w:spacing w:line="360" w:lineRule="auto"/>
        <w:ind w:firstLine="482" w:firstLineChars="200"/>
        <w:rPr>
          <w:rFonts w:hint="eastAsia" w:ascii="仿宋_GB2312" w:hAnsi="宋体" w:eastAsia="仿宋_GB2312"/>
          <w:b/>
          <w:sz w:val="24"/>
          <w:highlight w:val="none"/>
        </w:rPr>
      </w:pPr>
      <w:r>
        <w:rPr>
          <w:rFonts w:hint="eastAsia" w:ascii="仿宋_GB2312" w:hAnsi="仿宋_GB2312" w:eastAsia="仿宋_GB2312"/>
          <w:b/>
          <w:bCs/>
          <w:sz w:val="24"/>
          <w:highlight w:val="none"/>
        </w:rPr>
        <w:t>附件二：</w:t>
      </w:r>
    </w:p>
    <w:p>
      <w:pPr>
        <w:jc w:val="center"/>
        <w:rPr>
          <w:rFonts w:hint="eastAsia" w:ascii="仿宋_GB2312" w:hAnsi="仿宋_GB2312" w:eastAsia="仿宋_GB2312"/>
          <w:b/>
          <w:bCs/>
          <w:sz w:val="24"/>
          <w:highlight w:val="none"/>
        </w:rPr>
      </w:pPr>
      <w:r>
        <w:rPr>
          <w:rFonts w:hint="eastAsia" w:ascii="仿宋_GB2312" w:hAnsi="仿宋_GB2312" w:eastAsia="仿宋_GB2312"/>
          <w:b/>
          <w:bCs/>
          <w:sz w:val="24"/>
          <w:highlight w:val="none"/>
        </w:rPr>
        <w:t>保密协议</w:t>
      </w:r>
    </w:p>
    <w:p>
      <w:pPr>
        <w:rPr>
          <w:rFonts w:hint="eastAsia" w:ascii="仿宋_GB2312" w:hAnsi="仿宋_GB2312" w:eastAsia="仿宋_GB2312"/>
          <w:sz w:val="24"/>
          <w:highlight w:val="none"/>
        </w:rPr>
      </w:pPr>
    </w:p>
    <w:p>
      <w:pPr>
        <w:spacing w:line="360" w:lineRule="auto"/>
        <w:ind w:firstLine="480" w:firstLineChars="200"/>
        <w:rPr>
          <w:rFonts w:hint="eastAsia" w:ascii="仿宋_GB2312" w:hAnsi="仿宋_GB2312" w:eastAsia="仿宋_GB2312"/>
          <w:sz w:val="24"/>
          <w:highlight w:val="none"/>
        </w:rPr>
      </w:pPr>
      <w:r>
        <w:rPr>
          <w:rFonts w:ascii="仿宋_GB2312" w:hAnsi="仿宋_GB2312" w:eastAsia="仿宋_GB2312"/>
          <w:sz w:val="24"/>
          <w:highlight w:val="none"/>
        </w:rPr>
        <w:t>甲方：</w:t>
      </w:r>
      <w:r>
        <w:rPr>
          <w:rFonts w:hint="eastAsia" w:ascii="仿宋_GB2312" w:hAnsi="仿宋_GB2312" w:eastAsia="仿宋_GB2312"/>
          <w:sz w:val="24"/>
          <w:highlight w:val="none"/>
        </w:rPr>
        <w:t>浙江中水数建科技有限公司</w:t>
      </w:r>
      <w:r>
        <w:rPr>
          <w:rFonts w:hint="eastAsia" w:ascii="仿宋_GB2312" w:hAnsi="仿宋_GB2312" w:eastAsia="仿宋_GB2312"/>
          <w:sz w:val="24"/>
          <w:highlight w:val="none"/>
          <w:u w:val="single"/>
        </w:rPr>
        <w:t xml:space="preserve"> </w:t>
      </w:r>
      <w:r>
        <w:rPr>
          <w:rFonts w:ascii="仿宋_GB2312" w:hAnsi="仿宋_GB2312" w:eastAsia="仿宋_GB2312"/>
          <w:sz w:val="24"/>
          <w:highlight w:val="none"/>
          <w:u w:val="single"/>
        </w:rPr>
        <w:t xml:space="preserve">                             </w:t>
      </w:r>
    </w:p>
    <w:p>
      <w:pPr>
        <w:spacing w:line="360" w:lineRule="auto"/>
        <w:ind w:firstLine="480" w:firstLineChars="200"/>
        <w:rPr>
          <w:rFonts w:hint="eastAsia" w:ascii="仿宋_GB2312" w:hAnsi="仿宋_GB2312" w:eastAsia="仿宋_GB2312"/>
          <w:sz w:val="24"/>
          <w:highlight w:val="none"/>
        </w:rPr>
      </w:pPr>
      <w:r>
        <w:rPr>
          <w:rFonts w:ascii="仿宋_GB2312" w:hAnsi="仿宋_GB2312" w:eastAsia="仿宋_GB2312"/>
          <w:sz w:val="24"/>
          <w:highlight w:val="none"/>
        </w:rPr>
        <w:t>乙方：</w:t>
      </w:r>
      <w:r>
        <w:rPr>
          <w:rFonts w:hint="eastAsia" w:ascii="仿宋_GB2312" w:hAnsi="仿宋_GB2312" w:eastAsia="仿宋_GB2312"/>
          <w:sz w:val="24"/>
          <w:highlight w:val="none"/>
          <w:u w:val="single"/>
        </w:rPr>
        <w:t xml:space="preserve"> </w:t>
      </w:r>
      <w:r>
        <w:rPr>
          <w:rFonts w:ascii="仿宋_GB2312" w:hAnsi="仿宋_GB2312" w:eastAsia="仿宋_GB2312"/>
          <w:sz w:val="24"/>
          <w:highlight w:val="none"/>
          <w:u w:val="single"/>
        </w:rPr>
        <w:t xml:space="preserve">        </w:t>
      </w:r>
      <w:r>
        <w:rPr>
          <w:rFonts w:hint="eastAsia" w:ascii="仿宋_GB2312" w:hAnsi="仿宋_GB2312" w:eastAsia="仿宋_GB2312"/>
          <w:sz w:val="24"/>
          <w:highlight w:val="none"/>
          <w:u w:val="single"/>
        </w:rPr>
        <w:t xml:space="preserve"> </w:t>
      </w:r>
      <w:r>
        <w:rPr>
          <w:rFonts w:ascii="仿宋_GB2312" w:hAnsi="仿宋_GB2312" w:eastAsia="仿宋_GB2312"/>
          <w:sz w:val="24"/>
          <w:highlight w:val="none"/>
          <w:u w:val="single"/>
        </w:rPr>
        <w:t xml:space="preserve">                    </w:t>
      </w:r>
      <w:r>
        <w:rPr>
          <w:rFonts w:ascii="仿宋_GB2312" w:hAnsi="仿宋_GB2312" w:eastAsia="仿宋_GB2312"/>
          <w:sz w:val="24"/>
          <w:highlight w:val="none"/>
        </w:rPr>
        <w:t xml:space="preserve">                                </w:t>
      </w:r>
    </w:p>
    <w:p>
      <w:pPr>
        <w:spacing w:line="360" w:lineRule="auto"/>
        <w:ind w:firstLine="480" w:firstLineChars="200"/>
        <w:rPr>
          <w:rFonts w:hint="eastAsia" w:ascii="仿宋_GB2312" w:hAnsi="仿宋_GB2312" w:eastAsia="仿宋_GB2312"/>
          <w:sz w:val="24"/>
          <w:highlight w:val="none"/>
        </w:rPr>
      </w:pPr>
      <w:r>
        <w:rPr>
          <w:rFonts w:ascii="仿宋_GB2312" w:hAnsi="仿宋_GB2312" w:eastAsia="仿宋_GB2312"/>
          <w:sz w:val="24"/>
          <w:highlight w:val="none"/>
        </w:rPr>
        <w:t>鉴于乙方承担了甲方项目（以下简称“本项目”），甲、乙双方根据国家保密法律法规和甲方的保密规定，在遵循平等、自愿、公平和诚实信用的原则下，经协商一致，就保密事项达成如下协议：</w:t>
      </w:r>
    </w:p>
    <w:p>
      <w:pPr>
        <w:spacing w:line="360" w:lineRule="auto"/>
        <w:ind w:firstLine="482" w:firstLineChars="200"/>
        <w:rPr>
          <w:rFonts w:hint="eastAsia" w:ascii="仿宋_GB2312" w:hAnsi="仿宋_GB2312" w:eastAsia="仿宋_GB2312"/>
          <w:b/>
          <w:bCs/>
          <w:sz w:val="24"/>
          <w:highlight w:val="none"/>
        </w:rPr>
      </w:pPr>
      <w:r>
        <w:rPr>
          <w:rFonts w:ascii="仿宋_GB2312" w:hAnsi="仿宋_GB2312" w:eastAsia="仿宋_GB2312"/>
          <w:b/>
          <w:bCs/>
          <w:sz w:val="24"/>
          <w:highlight w:val="none"/>
        </w:rPr>
        <w:t>1．保密信息</w:t>
      </w:r>
    </w:p>
    <w:p>
      <w:pPr>
        <w:pStyle w:val="37"/>
        <w:numPr>
          <w:ilvl w:val="0"/>
          <w:numId w:val="14"/>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甲方提供给乙方的图片、文字、影像等资料，无论其是否标注有保密字样；</w:t>
      </w:r>
    </w:p>
    <w:p>
      <w:pPr>
        <w:pStyle w:val="37"/>
        <w:numPr>
          <w:ilvl w:val="0"/>
          <w:numId w:val="14"/>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甲乙双方洽谈的任何情况及签署的任何文件，以及合同价格、协议、备忘录、变更等包含的一切信息和合同项目进展情况；</w:t>
      </w:r>
    </w:p>
    <w:p>
      <w:pPr>
        <w:pStyle w:val="37"/>
        <w:numPr>
          <w:ilvl w:val="0"/>
          <w:numId w:val="14"/>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方在合作过程中了解和知悉的有关甲方和甲方掌握的国家秘密和商业秘密，包括但不限于技术秘密、市场秘密、财务秘密、管理秘密、知识产权和其他方面的秘密信息；</w:t>
      </w:r>
    </w:p>
    <w:p>
      <w:pPr>
        <w:pStyle w:val="37"/>
        <w:numPr>
          <w:ilvl w:val="0"/>
          <w:numId w:val="14"/>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乙方在服务过程中了解和掌握的甲方用户信息、视频会议信息、邮箱信息、业务系统信息、信息安全信息、相关系统和管理系统用户名和密码等信息；</w:t>
      </w:r>
    </w:p>
    <w:p>
      <w:pPr>
        <w:spacing w:line="360" w:lineRule="auto"/>
        <w:ind w:firstLine="482" w:firstLineChars="200"/>
        <w:rPr>
          <w:rFonts w:hint="eastAsia" w:ascii="仿宋_GB2312" w:hAnsi="仿宋_GB2312" w:eastAsia="仿宋_GB2312"/>
          <w:b/>
          <w:bCs/>
          <w:sz w:val="24"/>
          <w:highlight w:val="none"/>
        </w:rPr>
      </w:pPr>
      <w:r>
        <w:rPr>
          <w:rFonts w:ascii="仿宋_GB2312" w:hAnsi="仿宋_GB2312" w:eastAsia="仿宋_GB2312"/>
          <w:b/>
          <w:bCs/>
          <w:sz w:val="24"/>
          <w:highlight w:val="none"/>
        </w:rPr>
        <w:t>2．保密期限</w:t>
      </w:r>
    </w:p>
    <w:p>
      <w:pPr>
        <w:spacing w:line="360" w:lineRule="auto"/>
        <w:ind w:firstLine="480" w:firstLineChars="200"/>
        <w:rPr>
          <w:rFonts w:hint="eastAsia" w:ascii="仿宋_GB2312" w:hAnsi="仿宋_GB2312" w:eastAsia="仿宋_GB2312"/>
          <w:b/>
          <w:bCs/>
          <w:sz w:val="24"/>
          <w:highlight w:val="none"/>
        </w:rPr>
      </w:pPr>
      <w:r>
        <w:rPr>
          <w:rFonts w:ascii="仿宋_GB2312" w:hAnsi="仿宋_GB2312" w:eastAsia="仿宋_GB2312"/>
          <w:sz w:val="24"/>
          <w:highlight w:val="none"/>
        </w:rPr>
        <w:t>自本保密协议生效之日起，乙方对保密信息负有无限期的保密义务。</w:t>
      </w:r>
    </w:p>
    <w:p>
      <w:pPr>
        <w:spacing w:line="360" w:lineRule="auto"/>
        <w:ind w:firstLine="482" w:firstLineChars="200"/>
        <w:rPr>
          <w:rFonts w:hint="eastAsia" w:ascii="仿宋_GB2312" w:hAnsi="仿宋_GB2312" w:eastAsia="仿宋_GB2312"/>
          <w:b/>
          <w:bCs/>
          <w:sz w:val="24"/>
          <w:highlight w:val="none"/>
        </w:rPr>
      </w:pPr>
      <w:r>
        <w:rPr>
          <w:rFonts w:ascii="仿宋_GB2312" w:hAnsi="仿宋_GB2312" w:eastAsia="仿宋_GB2312"/>
          <w:b/>
          <w:bCs/>
          <w:sz w:val="24"/>
          <w:highlight w:val="none"/>
        </w:rPr>
        <w:t>3．保密规定</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乙方应对本项目工作人员加强管理，进行保密教育，签订保密协议，对于甲方的保密信息，只能根据工作需要由乙方参加本项目的特定人员知悉，不得擅自扩大知悉范围。</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在本项目实施过程中，乙方应遵守甲方有关保守国家秘密和商业秘密的管理规定，服从甲方保密主管部门、信息化</w:t>
      </w:r>
      <w:r>
        <w:rPr>
          <w:rFonts w:hint="eastAsia" w:ascii="仿宋_GB2312" w:hAnsi="仿宋_GB2312" w:eastAsia="仿宋_GB2312"/>
          <w:sz w:val="24"/>
          <w:highlight w:val="none"/>
        </w:rPr>
        <w:t>部门</w:t>
      </w:r>
      <w:r>
        <w:rPr>
          <w:rFonts w:ascii="仿宋_GB2312" w:hAnsi="仿宋_GB2312" w:eastAsia="仿宋_GB2312"/>
          <w:sz w:val="24"/>
          <w:highlight w:val="none"/>
        </w:rPr>
        <w:t>及其他相关部门的指导、监督和检查。</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乙方与甲方有关人员进行交流,如确需知悉、获取相关保密信息，应通过甲方信息化管理部按照规定的程序获取，不得直接向甲方业务部门直接索取。</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涉及甲方的保密信息，乙方只能在指定区域、指定范围察看，不得复印、拷贝和携带外出。</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甲方提供给乙方的保密信息，乙方仅能在本工程范围内使用，不得将资料用于其他目的，不得留存、复制。</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乙方应妥善保管甲方提供的各种介质的技术资料、文件、方案、操作手册和数据等，防止丢失或被盗。使用完毕后，应及时全部归还甲方，不得留存、复制。乙方在工作过程中，造成涉及甲方的技术资料、文件和数据等丢失或被盗，要及时通知甲方，并积极配合甲方和有关部门进行调查；</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乙方对工作的内容和执行情况应严格保密，不得泄露给第三方。在与工作过程中了解、知悉的甲方保密信息，在任何时候都不得向第三方透露；</w:t>
      </w:r>
    </w:p>
    <w:p>
      <w:pPr>
        <w:pStyle w:val="37"/>
        <w:numPr>
          <w:ilvl w:val="0"/>
          <w:numId w:val="15"/>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在</w:t>
      </w:r>
      <w:r>
        <w:rPr>
          <w:rFonts w:hint="eastAsia" w:ascii="仿宋_GB2312" w:hAnsi="仿宋_GB2312" w:eastAsia="仿宋_GB2312"/>
          <w:sz w:val="24"/>
          <w:highlight w:val="none"/>
        </w:rPr>
        <w:t>项目</w:t>
      </w:r>
      <w:r>
        <w:rPr>
          <w:rFonts w:ascii="仿宋_GB2312" w:hAnsi="仿宋_GB2312" w:eastAsia="仿宋_GB2312"/>
          <w:sz w:val="24"/>
          <w:highlight w:val="none"/>
        </w:rPr>
        <w:t>过程中，甲方有权对乙方执行保密协议的情况进行监督和检查，对不符合保密协议条款的事项，乙方应及时纠正，不得拖延。</w:t>
      </w:r>
    </w:p>
    <w:p>
      <w:pPr>
        <w:spacing w:line="360" w:lineRule="auto"/>
        <w:ind w:firstLine="482" w:firstLineChars="200"/>
        <w:rPr>
          <w:rFonts w:hint="eastAsia" w:ascii="仿宋_GB2312" w:hAnsi="仿宋_GB2312" w:eastAsia="仿宋_GB2312"/>
          <w:b/>
          <w:bCs/>
          <w:sz w:val="24"/>
          <w:highlight w:val="none"/>
        </w:rPr>
      </w:pPr>
      <w:r>
        <w:rPr>
          <w:rFonts w:ascii="仿宋_GB2312" w:hAnsi="仿宋_GB2312" w:eastAsia="仿宋_GB2312"/>
          <w:b/>
          <w:bCs/>
          <w:sz w:val="24"/>
          <w:highlight w:val="none"/>
        </w:rPr>
        <w:t>4．违约责任</w:t>
      </w:r>
    </w:p>
    <w:p>
      <w:pPr>
        <w:pStyle w:val="37"/>
        <w:numPr>
          <w:ilvl w:val="0"/>
          <w:numId w:val="16"/>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由于乙方原因，在本项目合同期内，发生泄密事件（案件），给甲方或国家安全造成危害或经济损失的，由乙方赔偿经济损失，并按照国家有关规定追究责任。</w:t>
      </w:r>
    </w:p>
    <w:p>
      <w:pPr>
        <w:pStyle w:val="37"/>
        <w:numPr>
          <w:ilvl w:val="0"/>
          <w:numId w:val="16"/>
        </w:numPr>
        <w:spacing w:line="360" w:lineRule="auto"/>
        <w:ind w:firstLineChars="0"/>
        <w:rPr>
          <w:rFonts w:hint="eastAsia" w:ascii="仿宋_GB2312" w:hAnsi="仿宋_GB2312" w:eastAsia="仿宋_GB2312"/>
          <w:sz w:val="24"/>
          <w:highlight w:val="none"/>
        </w:rPr>
      </w:pPr>
      <w:r>
        <w:rPr>
          <w:rFonts w:ascii="仿宋_GB2312" w:hAnsi="仿宋_GB2312" w:eastAsia="仿宋_GB2312"/>
          <w:sz w:val="24"/>
          <w:highlight w:val="none"/>
        </w:rPr>
        <w:t>由于乙方原因，在本项目合同期结束后，发生泄密事件（案件），给甲方或国家安全造成危害或经济损失的，由乙方赔偿经济损失，并按照国家有关规定追究责任。</w:t>
      </w:r>
    </w:p>
    <w:p>
      <w:pPr>
        <w:spacing w:line="360" w:lineRule="auto"/>
        <w:ind w:firstLine="482" w:firstLineChars="200"/>
        <w:rPr>
          <w:rFonts w:hint="eastAsia" w:ascii="仿宋_GB2312" w:hAnsi="仿宋_GB2312" w:eastAsia="仿宋_GB2312"/>
          <w:b/>
          <w:bCs/>
          <w:sz w:val="24"/>
          <w:highlight w:val="none"/>
        </w:rPr>
      </w:pPr>
      <w:r>
        <w:rPr>
          <w:rFonts w:ascii="仿宋_GB2312" w:hAnsi="仿宋_GB2312" w:eastAsia="仿宋_GB2312"/>
          <w:b/>
          <w:bCs/>
          <w:sz w:val="24"/>
          <w:highlight w:val="none"/>
        </w:rPr>
        <w:t>5．其他</w:t>
      </w:r>
    </w:p>
    <w:p>
      <w:pPr>
        <w:spacing w:line="360" w:lineRule="auto"/>
        <w:ind w:firstLine="480" w:firstLineChars="200"/>
        <w:rPr>
          <w:rFonts w:hint="eastAsia" w:ascii="仿宋_GB2312" w:hAnsi="仿宋_GB2312" w:eastAsia="仿宋_GB2312"/>
          <w:sz w:val="24"/>
          <w:highlight w:val="none"/>
        </w:rPr>
      </w:pPr>
      <w:r>
        <w:rPr>
          <w:rFonts w:ascii="仿宋_GB2312" w:hAnsi="仿宋_GB2312" w:eastAsia="仿宋_GB2312"/>
          <w:sz w:val="24"/>
          <w:highlight w:val="none"/>
        </w:rPr>
        <w:t>本保密协议自签署之日起生效。</w:t>
      </w:r>
    </w:p>
    <w:p>
      <w:pPr>
        <w:spacing w:line="360" w:lineRule="auto"/>
        <w:rPr>
          <w:rFonts w:hint="eastAsia" w:ascii="仿宋_GB2312" w:hAnsi="仿宋_GB2312" w:eastAsia="仿宋_GB2312"/>
          <w:sz w:val="24"/>
          <w:highlight w:val="none"/>
        </w:rPr>
      </w:pPr>
    </w:p>
    <w:tbl>
      <w:tblPr>
        <w:tblStyle w:val="20"/>
        <w:tblW w:w="9959" w:type="dxa"/>
        <w:tblInd w:w="0" w:type="dxa"/>
        <w:tblLayout w:type="fixed"/>
        <w:tblCellMar>
          <w:top w:w="0" w:type="dxa"/>
          <w:left w:w="108" w:type="dxa"/>
          <w:bottom w:w="0" w:type="dxa"/>
          <w:right w:w="108" w:type="dxa"/>
        </w:tblCellMar>
      </w:tblPr>
      <w:tblGrid>
        <w:gridCol w:w="1328"/>
        <w:gridCol w:w="3364"/>
        <w:gridCol w:w="1947"/>
        <w:gridCol w:w="3320"/>
      </w:tblGrid>
      <w:tr>
        <w:tblPrEx>
          <w:tblCellMar>
            <w:top w:w="0" w:type="dxa"/>
            <w:left w:w="108" w:type="dxa"/>
            <w:bottom w:w="0" w:type="dxa"/>
            <w:right w:w="108" w:type="dxa"/>
          </w:tblCellMar>
        </w:tblPrEx>
        <w:trPr>
          <w:trHeight w:val="747" w:hRule="exact"/>
        </w:trPr>
        <w:tc>
          <w:tcPr>
            <w:tcW w:w="1328"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甲方名称：（盖章）</w:t>
            </w:r>
          </w:p>
        </w:tc>
        <w:tc>
          <w:tcPr>
            <w:tcW w:w="3364"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　浙江中水数建科技有限公司</w:t>
            </w:r>
          </w:p>
        </w:tc>
        <w:tc>
          <w:tcPr>
            <w:tcW w:w="1947"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乙方名称：（盖章）</w:t>
            </w:r>
          </w:p>
        </w:tc>
        <w:tc>
          <w:tcPr>
            <w:tcW w:w="3320"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　</w:t>
            </w:r>
          </w:p>
        </w:tc>
      </w:tr>
      <w:tr>
        <w:tblPrEx>
          <w:tblCellMar>
            <w:top w:w="0" w:type="dxa"/>
            <w:left w:w="108" w:type="dxa"/>
            <w:bottom w:w="0" w:type="dxa"/>
            <w:right w:w="108" w:type="dxa"/>
          </w:tblCellMar>
        </w:tblPrEx>
        <w:trPr>
          <w:trHeight w:val="625" w:hRule="exact"/>
        </w:trPr>
        <w:tc>
          <w:tcPr>
            <w:tcW w:w="1328"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法人或授权代表签字：</w:t>
            </w:r>
          </w:p>
        </w:tc>
        <w:tc>
          <w:tcPr>
            <w:tcW w:w="3364"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　</w:t>
            </w:r>
          </w:p>
        </w:tc>
        <w:tc>
          <w:tcPr>
            <w:tcW w:w="1947"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法人或授权代表签字：</w:t>
            </w:r>
          </w:p>
        </w:tc>
        <w:tc>
          <w:tcPr>
            <w:tcW w:w="3320"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　</w:t>
            </w:r>
          </w:p>
        </w:tc>
      </w:tr>
      <w:tr>
        <w:tblPrEx>
          <w:tblCellMar>
            <w:top w:w="0" w:type="dxa"/>
            <w:left w:w="108" w:type="dxa"/>
            <w:bottom w:w="0" w:type="dxa"/>
            <w:right w:w="108" w:type="dxa"/>
          </w:tblCellMar>
        </w:tblPrEx>
        <w:trPr>
          <w:trHeight w:val="515" w:hRule="exact"/>
        </w:trPr>
        <w:tc>
          <w:tcPr>
            <w:tcW w:w="1328" w:type="dxa"/>
            <w:noWrap/>
            <w:vAlign w:val="center"/>
          </w:tcPr>
          <w:p>
            <w:pPr>
              <w:widowControl/>
              <w:jc w:val="center"/>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日期：</w:t>
            </w:r>
          </w:p>
        </w:tc>
        <w:tc>
          <w:tcPr>
            <w:tcW w:w="3364" w:type="dxa"/>
            <w:noWrap/>
            <w:vAlign w:val="center"/>
          </w:tcPr>
          <w:p>
            <w:pPr>
              <w:widowControl/>
              <w:jc w:val="center"/>
              <w:rPr>
                <w:rFonts w:hint="eastAsia" w:ascii="仿宋_GB2312" w:hAnsi="仿宋_GB2312" w:eastAsia="仿宋_GB2312" w:cs="宋体"/>
                <w:kern w:val="0"/>
                <w:sz w:val="24"/>
                <w:highlight w:val="none"/>
              </w:rPr>
            </w:pPr>
          </w:p>
        </w:tc>
        <w:tc>
          <w:tcPr>
            <w:tcW w:w="1947" w:type="dxa"/>
            <w:noWrap/>
            <w:vAlign w:val="center"/>
          </w:tcPr>
          <w:p>
            <w:pPr>
              <w:widowControl/>
              <w:jc w:val="center"/>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日期：</w:t>
            </w:r>
          </w:p>
        </w:tc>
        <w:tc>
          <w:tcPr>
            <w:tcW w:w="3320" w:type="dxa"/>
            <w:noWrap/>
            <w:vAlign w:val="center"/>
          </w:tcPr>
          <w:p>
            <w:pPr>
              <w:widowControl/>
              <w:jc w:val="left"/>
              <w:rPr>
                <w:rFonts w:hint="eastAsia" w:ascii="仿宋_GB2312" w:hAnsi="仿宋_GB2312" w:eastAsia="仿宋_GB2312" w:cs="宋体"/>
                <w:kern w:val="0"/>
                <w:sz w:val="24"/>
                <w:highlight w:val="none"/>
              </w:rPr>
            </w:pPr>
            <w:r>
              <w:rPr>
                <w:rFonts w:hint="eastAsia" w:ascii="仿宋_GB2312" w:hAnsi="仿宋_GB2312" w:eastAsia="仿宋_GB2312" w:cs="宋体"/>
                <w:kern w:val="0"/>
                <w:sz w:val="24"/>
                <w:highlight w:val="none"/>
              </w:rPr>
              <w:t>　</w:t>
            </w:r>
          </w:p>
        </w:tc>
      </w:tr>
    </w:tbl>
    <w:p>
      <w:pPr>
        <w:rPr>
          <w:rFonts w:hint="eastAsia" w:ascii="仿宋_GB2312" w:hAnsi="仿宋_GB2312" w:eastAsia="仿宋_GB2312"/>
          <w:sz w:val="24"/>
          <w:highlight w:val="none"/>
        </w:rPr>
      </w:pPr>
    </w:p>
    <w:p>
      <w:pPr>
        <w:pageBreakBefore/>
        <w:rPr>
          <w:rFonts w:hint="eastAsia" w:ascii="仿宋_GB2312" w:hAnsi="仿宋_GB2312" w:eastAsia="仿宋_GB2312"/>
          <w:b/>
          <w:sz w:val="24"/>
          <w:highlight w:val="none"/>
        </w:rPr>
      </w:pPr>
      <w:r>
        <w:rPr>
          <w:rFonts w:hint="eastAsia" w:ascii="仿宋_GB2312" w:hAnsi="仿宋_GB2312" w:eastAsia="仿宋_GB2312"/>
          <w:b/>
          <w:sz w:val="24"/>
          <w:highlight w:val="none"/>
        </w:rPr>
        <w:t>附件三：</w:t>
      </w:r>
    </w:p>
    <w:p>
      <w:pPr>
        <w:pStyle w:val="3"/>
        <w:spacing w:line="600" w:lineRule="exact"/>
        <w:ind w:rightChars="0" w:firstLine="0" w:firstLineChars="0"/>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保廉合同</w:t>
      </w:r>
    </w:p>
    <w:p>
      <w:pPr>
        <w:pStyle w:val="3"/>
        <w:spacing w:line="600" w:lineRule="exact"/>
        <w:ind w:right="640" w:rightChars="0" w:firstLine="9240" w:firstLineChars="2100"/>
        <w:rPr>
          <w:rFonts w:hint="eastAsia" w:ascii="方正小标宋简体" w:hAnsi="宋体" w:eastAsia="方正小标宋简体"/>
          <w:sz w:val="44"/>
          <w:szCs w:val="44"/>
          <w:highlight w:val="none"/>
        </w:rPr>
      </w:pPr>
    </w:p>
    <w:p>
      <w:pPr>
        <w:pStyle w:val="3"/>
        <w:spacing w:line="600" w:lineRule="exact"/>
        <w:ind w:right="640" w:rightChars="0" w:firstLine="5880" w:firstLineChars="2100"/>
        <w:rPr>
          <w:rFonts w:hint="eastAsia" w:ascii="仿宋_GB2312" w:hAnsi="仿宋_GB2312"/>
          <w:sz w:val="28"/>
          <w:szCs w:val="28"/>
          <w:highlight w:val="none"/>
        </w:rPr>
      </w:pPr>
      <w:r>
        <w:rPr>
          <w:rFonts w:hint="eastAsia" w:ascii="仿宋_GB2312" w:hAnsi="仿宋_GB2312"/>
          <w:sz w:val="28"/>
          <w:szCs w:val="28"/>
          <w:highlight w:val="none"/>
        </w:rPr>
        <w:t>合同编号：</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甲方名称：</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乙方名称：</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为确保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工程分包、劳务分包、服务分包、设备租赁、设备物资采购合同（合同编号：       ）双方能够清正廉洁地履行合同，维护双方合法权益，经双方协商达成一致意见，签订如下协议：</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第一条  双方的权利和义务</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（一）严格遵守党和国家有关法律法规及党风廉政建设和反腐败工作有关规定。</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（二）双方本着公开、公正、诚信的原则，自觉按合同办事，不得损害国家、集体利益以及个人合法权益。</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（三）双方要经常开展廉洁教育，加强对本单位工作人员的监督工作。</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（四）加强相互监督，对违反合同行为及时提醒并予以纠正，对违法违纪行为及时报告有关部门。</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第二条  甲方义务</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（一）甲方工作人员不得索要或接受乙方提供的各种名义奖励、礼金、有价证券（卡）和物品等；不得在乙方单位报销应由个人支付的各种费用。</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（二）甲方工作人员不得借本人及家庭婚丧嫁娶、住房装修等时机，索取或接受乙方的礼品、礼金、有价证券等财务或劳务帮助。</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（三）甲方工作人员不得利用职权安排配偶、子女及其配偶、特定关系人到乙方单位工作。</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（四）甲方工作人员不得接受乙方提供的宴请、高消费娱乐活动及国内外观光旅游活动。</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（五）甲方工作人员不得为乙方多结工程款、劳务费、设备租赁款、设备物资款，并从中收受回扣，谋取私利。</w:t>
      </w:r>
    </w:p>
    <w:p>
      <w:pPr>
        <w:spacing w:line="600" w:lineRule="exac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六）甲方工作人员不得以支付工程、材料、劳务和设备物资款等虚假名义，通过乙方套取资金；甲方工作人员不得参与乙方任何股份或合伙购置施工设备等返租给甲方；甲方工作人员（或其特定关系人）不得购置施工设备租赁给乙方使用。</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（七）甲方工作人员不得因乙方拒绝合同外的不合理要求，而故意刁难乙方。</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（八）甲方工作人员不得利用验收、计量、结算、支付等职权，故意刁难乙方以谋取私利。</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第三条  乙方义务</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（一）乙方工作人员不得以任何理由向甲方工作人员赠送现金、礼品或有价证券（卡）等。</w:t>
      </w:r>
    </w:p>
    <w:p>
      <w:pPr>
        <w:pStyle w:val="3"/>
        <w:tabs>
          <w:tab w:val="left" w:pos="8848"/>
        </w:tabs>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（二）乙方工作人员不得为甲方工作人员报销应由甲方单位或个人支付的任何费用。</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（三）乙方工作人员不得邀请和资助甲方工作人员及家属外出旅游、参观、学习。</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（四）乙方工作人员不得利用黄、赌、贿等各种手段拉拢腐蚀甲方工作人员。</w:t>
      </w:r>
    </w:p>
    <w:p>
      <w:pPr>
        <w:pStyle w:val="3"/>
        <w:spacing w:line="600" w:lineRule="exact"/>
        <w:ind w:right="-2" w:rightChars="-1"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支付工程、劳务、材料和设备物资款等虚假名义，为甲方套取或转移资金提供方便；不得邀请甲方或甲方工作人员入股或合伙购置施工设备；不得租赁使用甲方工作人员（或其特定关系人）购置的施工设备。</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第四条  违约责任</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甲方工作人员有违反本合同规定的行为，情节轻微的，由甲方上级纪检组织部门给予诫勉谈话；情节较重并给企业造成损失的，依据有关规定对责任人给予党纪政纪处分和经济处罚，并建议调离原岗位，不再从事相关工作；情节严重构成犯罪的，将责任人移交司法机关追究其刑事责任。</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乙方单位或个人有违反本合同约定的行为，按照违约金额的1-3倍给予处罚，如情节较重并给甲方造成损失的，乙方赔偿甲方直接经济损失，由甲方从乙方交纳的履约保证金（保证金）或工程款（货款）、设备租赁费中扣除；给甲方造成一定不良社会影响的，取消乙方合格分包（供应）商资格，两年内不得在甲方分包工程和设备租赁，三年内不得参与甲方所有设备物资采购活动。</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第五条  双方约定如下事项：</w:t>
      </w:r>
    </w:p>
    <w:p>
      <w:pPr>
        <w:pStyle w:val="3"/>
        <w:tabs>
          <w:tab w:val="left" w:pos="8844"/>
        </w:tabs>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（一）本合同由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负责监督，举报电话：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负责本合同的验收。</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（二）双方其他约定：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第六条  本合同作为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工程分包、劳务分包、设备租赁、设备物资采购合同的一部分，双方签字并盖章后生效，有效期至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第七条  本合同共肆份，甲方执叁份，乙方执壹份。</w:t>
      </w:r>
    </w:p>
    <w:p>
      <w:pPr>
        <w:pStyle w:val="3"/>
        <w:spacing w:line="600" w:lineRule="exact"/>
        <w:ind w:rightChars="0" w:firstLine="560"/>
        <w:rPr>
          <w:rFonts w:hint="eastAsia" w:ascii="仿宋" w:hAnsi="仿宋" w:eastAsia="仿宋" w:cs="仿宋"/>
          <w:sz w:val="28"/>
          <w:szCs w:val="28"/>
          <w:highlight w:val="none"/>
        </w:rPr>
      </w:pPr>
    </w:p>
    <w:p>
      <w:pPr>
        <w:pStyle w:val="3"/>
        <w:spacing w:line="600" w:lineRule="exact"/>
        <w:ind w:rightChars="0" w:firstLine="560"/>
        <w:rPr>
          <w:rFonts w:hint="eastAsia" w:ascii="仿宋" w:hAnsi="仿宋" w:eastAsia="仿宋" w:cs="仿宋"/>
          <w:sz w:val="28"/>
          <w:szCs w:val="28"/>
          <w:highlight w:val="none"/>
        </w:rPr>
      </w:pPr>
    </w:p>
    <w:p>
      <w:pPr>
        <w:pStyle w:val="3"/>
        <w:spacing w:line="600" w:lineRule="exact"/>
        <w:ind w:right="-4"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甲方（盖章）:                  乙方（盖章）: </w:t>
      </w:r>
    </w:p>
    <w:p>
      <w:pPr>
        <w:pStyle w:val="3"/>
        <w:spacing w:line="600" w:lineRule="exact"/>
        <w:ind w:righ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代表（签字）:                  代表（签字）:</w:t>
      </w:r>
    </w:p>
    <w:p>
      <w:pPr>
        <w:pStyle w:val="3"/>
        <w:spacing w:line="600" w:lineRule="exact"/>
        <w:ind w:rightChars="0" w:firstLine="910" w:firstLineChars="325"/>
        <w:rPr>
          <w:rFonts w:hint="eastAsia" w:ascii="仿宋" w:hAnsi="仿宋" w:eastAsia="仿宋" w:cs="仿宋"/>
          <w:sz w:val="28"/>
          <w:szCs w:val="28"/>
          <w:highlight w:val="none"/>
        </w:rPr>
      </w:pPr>
      <w:r>
        <w:rPr>
          <w:rFonts w:hint="eastAsia" w:ascii="仿宋" w:hAnsi="仿宋" w:eastAsia="仿宋" w:cs="仿宋"/>
          <w:sz w:val="28"/>
          <w:szCs w:val="28"/>
          <w:highlight w:val="none"/>
        </w:rPr>
        <w:t>年  月  日                   年  月  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bookmarkEnd w:id="159"/>
    <w:p>
      <w:pPr>
        <w:pStyle w:val="4"/>
        <w:numPr>
          <w:ilvl w:val="0"/>
          <w:numId w:val="17"/>
        </w:numPr>
        <w:rPr>
          <w:rFonts w:hint="eastAsia"/>
          <w:highlight w:val="none"/>
        </w:rPr>
      </w:pPr>
      <w:r>
        <w:rPr>
          <w:rFonts w:hint="eastAsia"/>
          <w:highlight w:val="none"/>
        </w:rPr>
        <w:t xml:space="preserve"> 响应文件格式</w:t>
      </w:r>
    </w:p>
    <w:p>
      <w:pPr>
        <w:rPr>
          <w:highlight w:val="none"/>
        </w:rPr>
      </w:pPr>
    </w:p>
    <w:p>
      <w:pPr>
        <w:pStyle w:val="4"/>
        <w:rPr>
          <w:rFonts w:hint="eastAsia"/>
          <w:highlight w:val="none"/>
        </w:rPr>
      </w:pPr>
    </w:p>
    <w:p>
      <w:pPr>
        <w:jc w:val="center"/>
        <w:rPr>
          <w:rFonts w:hint="eastAsia" w:ascii="仿宋" w:hAnsi="仿宋" w:eastAsia="仿宋"/>
          <w:b/>
          <w:sz w:val="52"/>
          <w:szCs w:val="52"/>
          <w:highlight w:val="none"/>
        </w:rPr>
      </w:pPr>
      <w:r>
        <w:rPr>
          <w:rFonts w:hint="eastAsia" w:ascii="仿宋" w:hAnsi="仿宋" w:eastAsia="仿宋"/>
          <w:b/>
          <w:sz w:val="52"/>
          <w:szCs w:val="52"/>
          <w:highlight w:val="none"/>
          <w:u w:val="single"/>
        </w:rPr>
        <w:t xml:space="preserve">   （项目名称）    </w:t>
      </w:r>
      <w:r>
        <w:rPr>
          <w:rFonts w:hint="eastAsia" w:ascii="仿宋" w:hAnsi="仿宋" w:eastAsia="仿宋"/>
          <w:b/>
          <w:sz w:val="52"/>
          <w:szCs w:val="52"/>
          <w:highlight w:val="none"/>
        </w:rPr>
        <w:t>采购项目</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pStyle w:val="30"/>
        <w:spacing w:before="156" w:after="156"/>
        <w:ind w:firstLine="528"/>
        <w:rPr>
          <w:rFonts w:hint="eastAsia"/>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jc w:val="center"/>
        <w:rPr>
          <w:rFonts w:hint="eastAsia" w:ascii="仿宋" w:hAnsi="仿宋" w:eastAsia="仿宋"/>
          <w:sz w:val="24"/>
          <w:szCs w:val="24"/>
          <w:highlight w:val="none"/>
        </w:rPr>
      </w:pPr>
      <w:r>
        <w:rPr>
          <w:rFonts w:hint="eastAsia" w:ascii="仿宋" w:hAnsi="仿宋" w:eastAsia="仿宋"/>
          <w:b/>
          <w:sz w:val="84"/>
          <w:highlight w:val="none"/>
        </w:rPr>
        <w:t>竞争性</w:t>
      </w:r>
      <w:r>
        <w:rPr>
          <w:rFonts w:ascii="仿宋" w:hAnsi="仿宋" w:eastAsia="仿宋"/>
          <w:b/>
          <w:sz w:val="84"/>
          <w:highlight w:val="none"/>
        </w:rPr>
        <w:t>谈判</w:t>
      </w:r>
      <w:r>
        <w:rPr>
          <w:rFonts w:hint="eastAsia" w:ascii="仿宋" w:hAnsi="仿宋" w:eastAsia="仿宋"/>
          <w:b/>
          <w:sz w:val="84"/>
          <w:highlight w:val="none"/>
        </w:rPr>
        <w:t>响应</w:t>
      </w:r>
      <w:r>
        <w:rPr>
          <w:rFonts w:ascii="仿宋" w:hAnsi="仿宋" w:eastAsia="仿宋"/>
          <w:b/>
          <w:sz w:val="84"/>
          <w:highlight w:val="none"/>
        </w:rPr>
        <w:t>文件</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pStyle w:val="30"/>
        <w:spacing w:before="156" w:after="156"/>
        <w:ind w:firstLine="528"/>
        <w:rPr>
          <w:rFonts w:hint="eastAsia"/>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textAlignment w:val="bottom"/>
        <w:rPr>
          <w:rFonts w:hint="eastAsia" w:ascii="仿宋" w:hAnsi="仿宋" w:eastAsia="仿宋"/>
          <w:sz w:val="24"/>
          <w:szCs w:val="24"/>
          <w:highlight w:val="none"/>
        </w:rPr>
      </w:pPr>
    </w:p>
    <w:p>
      <w:pPr>
        <w:ind w:left="2" w:firstLine="536" w:firstLineChars="167"/>
        <w:rPr>
          <w:rFonts w:hint="eastAsia" w:ascii="仿宋" w:hAnsi="仿宋" w:eastAsia="仿宋"/>
          <w:b/>
          <w:bCs/>
          <w:sz w:val="32"/>
          <w:highlight w:val="none"/>
          <w:u w:val="single"/>
        </w:rPr>
      </w:pPr>
      <w:r>
        <w:rPr>
          <w:rFonts w:ascii="仿宋" w:hAnsi="仿宋" w:eastAsia="仿宋"/>
          <w:b/>
          <w:bCs/>
          <w:sz w:val="32"/>
          <w:highlight w:val="none"/>
        </w:rPr>
        <w:t>响应人</w:t>
      </w:r>
      <w:r>
        <w:rPr>
          <w:rFonts w:ascii="仿宋" w:hAnsi="仿宋" w:eastAsia="仿宋"/>
          <w:sz w:val="32"/>
          <w:highlight w:val="none"/>
        </w:rPr>
        <w:t>：</w:t>
      </w:r>
      <w:r>
        <w:rPr>
          <w:rFonts w:ascii="仿宋" w:hAnsi="仿宋" w:eastAsia="仿宋"/>
          <w:sz w:val="32"/>
          <w:highlight w:val="none"/>
          <w:u w:val="single"/>
        </w:rPr>
        <w:t xml:space="preserve">                            </w:t>
      </w:r>
      <w:r>
        <w:rPr>
          <w:rFonts w:ascii="仿宋" w:hAnsi="仿宋" w:eastAsia="仿宋"/>
          <w:b/>
          <w:bCs/>
          <w:sz w:val="32"/>
          <w:highlight w:val="none"/>
          <w:u w:val="single"/>
        </w:rPr>
        <w:t>（盖公章）</w:t>
      </w:r>
    </w:p>
    <w:p>
      <w:pPr>
        <w:ind w:left="2" w:firstLine="534" w:firstLineChars="167"/>
        <w:rPr>
          <w:rFonts w:hint="eastAsia" w:ascii="仿宋" w:hAnsi="仿宋" w:eastAsia="仿宋"/>
          <w:sz w:val="32"/>
          <w:highlight w:val="none"/>
          <w:u w:val="single"/>
        </w:rPr>
      </w:pPr>
    </w:p>
    <w:p>
      <w:pPr>
        <w:ind w:firstLine="536" w:firstLineChars="167"/>
        <w:rPr>
          <w:rFonts w:hint="eastAsia" w:ascii="仿宋" w:hAnsi="仿宋" w:eastAsia="仿宋"/>
          <w:b/>
          <w:bCs/>
          <w:sz w:val="32"/>
          <w:highlight w:val="none"/>
          <w:u w:val="single"/>
        </w:rPr>
      </w:pPr>
      <w:r>
        <w:rPr>
          <w:rFonts w:ascii="仿宋" w:hAnsi="仿宋" w:eastAsia="仿宋"/>
          <w:b/>
          <w:bCs/>
          <w:sz w:val="32"/>
          <w:highlight w:val="none"/>
        </w:rPr>
        <w:t>法定代表人或其委托代理人：</w:t>
      </w:r>
      <w:r>
        <w:rPr>
          <w:rFonts w:ascii="仿宋" w:hAnsi="仿宋" w:eastAsia="仿宋"/>
          <w:b/>
          <w:bCs/>
          <w:sz w:val="32"/>
          <w:highlight w:val="none"/>
          <w:u w:val="single"/>
        </w:rPr>
        <w:t xml:space="preserve">           （签字）</w:t>
      </w:r>
    </w:p>
    <w:p>
      <w:pPr>
        <w:jc w:val="center"/>
        <w:rPr>
          <w:rFonts w:hint="eastAsia" w:ascii="仿宋" w:hAnsi="仿宋" w:eastAsia="仿宋"/>
          <w:b/>
          <w:bCs/>
          <w:sz w:val="32"/>
          <w:highlight w:val="none"/>
        </w:rPr>
      </w:pPr>
      <w:r>
        <w:rPr>
          <w:rFonts w:hint="eastAsia" w:ascii="仿宋" w:hAnsi="仿宋" w:eastAsia="仿宋"/>
          <w:b/>
          <w:bCs/>
          <w:sz w:val="32"/>
          <w:highlight w:val="none"/>
        </w:rPr>
        <w:t xml:space="preserve">   </w:t>
      </w:r>
    </w:p>
    <w:p>
      <w:pPr>
        <w:jc w:val="center"/>
        <w:rPr>
          <w:rFonts w:hint="eastAsia" w:ascii="仿宋" w:hAnsi="仿宋" w:eastAsia="仿宋"/>
          <w:b/>
          <w:bCs/>
          <w:sz w:val="32"/>
          <w:highlight w:val="none"/>
        </w:rPr>
      </w:pPr>
    </w:p>
    <w:p>
      <w:pPr>
        <w:jc w:val="center"/>
        <w:rPr>
          <w:rFonts w:hint="eastAsia" w:ascii="仿宋" w:hAnsi="仿宋" w:eastAsia="仿宋"/>
          <w:b/>
          <w:bCs/>
          <w:sz w:val="32"/>
          <w:highlight w:val="none"/>
        </w:rPr>
      </w:pPr>
      <w:r>
        <w:rPr>
          <w:rFonts w:hint="eastAsia" w:ascii="仿宋" w:hAnsi="仿宋" w:eastAsia="仿宋"/>
          <w:b/>
          <w:bCs/>
          <w:sz w:val="32"/>
          <w:highlight w:val="none"/>
        </w:rPr>
        <w:t xml:space="preserve"> </w:t>
      </w:r>
      <w:r>
        <w:rPr>
          <w:rFonts w:ascii="仿宋" w:hAnsi="仿宋" w:eastAsia="仿宋"/>
          <w:b/>
          <w:bCs/>
          <w:sz w:val="32"/>
          <w:highlight w:val="none"/>
        </w:rPr>
        <w:t>年  月  日</w:t>
      </w:r>
    </w:p>
    <w:p>
      <w:pPr>
        <w:pStyle w:val="5"/>
        <w:numPr>
          <w:ilvl w:val="0"/>
          <w:numId w:val="18"/>
        </w:numPr>
        <w:rPr>
          <w:rFonts w:hint="eastAsia"/>
          <w:highlight w:val="none"/>
        </w:rPr>
      </w:pPr>
      <w:bookmarkStart w:id="188" w:name="_Toc433814131"/>
      <w:bookmarkStart w:id="189" w:name="_Toc58490814"/>
      <w:bookmarkStart w:id="190" w:name="附件一、竞争性谈判报价函"/>
      <w:r>
        <w:rPr>
          <w:rFonts w:hint="eastAsia"/>
          <w:highlight w:val="none"/>
        </w:rPr>
        <w:t>竞争性谈判</w:t>
      </w:r>
      <w:r>
        <w:rPr>
          <w:highlight w:val="none"/>
        </w:rPr>
        <w:t>报价</w:t>
      </w:r>
      <w:r>
        <w:rPr>
          <w:rFonts w:hint="eastAsia"/>
          <w:highlight w:val="none"/>
        </w:rPr>
        <w:t>函</w:t>
      </w:r>
      <w:bookmarkEnd w:id="188"/>
      <w:bookmarkEnd w:id="189"/>
    </w:p>
    <w:bookmarkEnd w:id="190"/>
    <w:p>
      <w:pPr>
        <w:spacing w:line="360" w:lineRule="auto"/>
        <w:jc w:val="center"/>
        <w:rPr>
          <w:rFonts w:hint="eastAsia" w:ascii="仿宋" w:hAnsi="仿宋" w:eastAsia="仿宋"/>
          <w:b/>
          <w:sz w:val="36"/>
          <w:szCs w:val="36"/>
          <w:highlight w:val="none"/>
        </w:rPr>
      </w:pPr>
    </w:p>
    <w:p>
      <w:pPr>
        <w:spacing w:line="360" w:lineRule="auto"/>
        <w:jc w:val="center"/>
        <w:rPr>
          <w:rFonts w:hint="eastAsia" w:ascii="仿宋" w:hAnsi="仿宋" w:eastAsia="仿宋"/>
          <w:b/>
          <w:sz w:val="36"/>
          <w:szCs w:val="36"/>
          <w:highlight w:val="none"/>
        </w:rPr>
      </w:pPr>
      <w:r>
        <w:rPr>
          <w:rFonts w:hint="eastAsia" w:ascii="仿宋" w:hAnsi="仿宋" w:eastAsia="仿宋"/>
          <w:b/>
          <w:sz w:val="36"/>
          <w:szCs w:val="36"/>
          <w:highlight w:val="none"/>
        </w:rPr>
        <w:t>竞争性谈判报价</w:t>
      </w:r>
      <w:r>
        <w:rPr>
          <w:rFonts w:ascii="仿宋" w:hAnsi="仿宋" w:eastAsia="仿宋"/>
          <w:b/>
          <w:sz w:val="36"/>
          <w:szCs w:val="36"/>
          <w:highlight w:val="none"/>
        </w:rPr>
        <w:t>函</w:t>
      </w:r>
    </w:p>
    <w:p>
      <w:pPr>
        <w:spacing w:line="360" w:lineRule="auto"/>
        <w:jc w:val="center"/>
        <w:rPr>
          <w:rFonts w:hint="eastAsia" w:ascii="仿宋" w:hAnsi="仿宋" w:eastAsia="仿宋"/>
          <w:b/>
          <w:sz w:val="36"/>
          <w:szCs w:val="36"/>
          <w:highlight w:val="none"/>
        </w:rPr>
      </w:pPr>
    </w:p>
    <w:p>
      <w:pPr>
        <w:adjustRightInd w:val="0"/>
        <w:snapToGrid w:val="0"/>
        <w:spacing w:line="420" w:lineRule="exact"/>
        <w:rPr>
          <w:rFonts w:hint="eastAsia" w:ascii="仿宋" w:hAnsi="仿宋" w:eastAsia="仿宋"/>
          <w:sz w:val="24"/>
          <w:highlight w:val="none"/>
        </w:rPr>
      </w:pPr>
      <w:r>
        <w:rPr>
          <w:rFonts w:ascii="仿宋" w:hAnsi="仿宋" w:eastAsia="仿宋"/>
          <w:sz w:val="24"/>
          <w:highlight w:val="none"/>
        </w:rPr>
        <w:t>致：</w:t>
      </w:r>
      <w:r>
        <w:rPr>
          <w:rFonts w:ascii="仿宋" w:hAnsi="仿宋" w:eastAsia="仿宋"/>
          <w:sz w:val="24"/>
          <w:highlight w:val="none"/>
          <w:u w:val="single"/>
        </w:rPr>
        <w:t xml:space="preserve">  （</w:t>
      </w:r>
      <w:r>
        <w:rPr>
          <w:rFonts w:hint="eastAsia" w:ascii="仿宋" w:hAnsi="仿宋" w:eastAsia="仿宋"/>
          <w:sz w:val="24"/>
          <w:highlight w:val="none"/>
          <w:u w:val="single"/>
        </w:rPr>
        <w:t>采购人</w:t>
      </w:r>
      <w:r>
        <w:rPr>
          <w:rFonts w:ascii="仿宋" w:hAnsi="仿宋" w:eastAsia="仿宋"/>
          <w:sz w:val="24"/>
          <w:highlight w:val="none"/>
          <w:u w:val="single"/>
        </w:rPr>
        <w:t xml:space="preserve">全称）    </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kern w:val="0"/>
          <w:sz w:val="24"/>
          <w:highlight w:val="none"/>
        </w:rPr>
      </w:pPr>
      <w:r>
        <w:rPr>
          <w:rFonts w:hint="eastAsia" w:ascii="仿宋" w:hAnsi="仿宋" w:eastAsia="仿宋"/>
          <w:kern w:val="0"/>
          <w:sz w:val="24"/>
          <w:highlight w:val="none"/>
        </w:rPr>
        <w:t>1、</w:t>
      </w:r>
      <w:r>
        <w:rPr>
          <w:rFonts w:ascii="仿宋" w:hAnsi="仿宋" w:eastAsia="仿宋"/>
          <w:kern w:val="0"/>
          <w:sz w:val="24"/>
          <w:highlight w:val="none"/>
        </w:rPr>
        <w:t>我</w:t>
      </w:r>
      <w:r>
        <w:rPr>
          <w:rFonts w:hint="eastAsia" w:ascii="仿宋" w:hAnsi="仿宋" w:eastAsia="仿宋"/>
          <w:kern w:val="0"/>
          <w:sz w:val="24"/>
          <w:highlight w:val="none"/>
        </w:rPr>
        <w:t>方</w:t>
      </w:r>
      <w:r>
        <w:rPr>
          <w:rFonts w:ascii="仿宋" w:hAnsi="仿宋" w:eastAsia="仿宋"/>
          <w:kern w:val="0"/>
          <w:sz w:val="24"/>
          <w:highlight w:val="none"/>
        </w:rPr>
        <w:t>已经仔细的研究了</w:t>
      </w:r>
      <w:r>
        <w:rPr>
          <w:rFonts w:ascii="仿宋" w:hAnsi="仿宋" w:eastAsia="仿宋"/>
          <w:kern w:val="0"/>
          <w:sz w:val="24"/>
          <w:highlight w:val="none"/>
          <w:u w:val="single"/>
        </w:rPr>
        <w:t xml:space="preserve">      （项目名称）      </w:t>
      </w:r>
      <w:r>
        <w:rPr>
          <w:rFonts w:hint="eastAsia" w:ascii="仿宋" w:hAnsi="仿宋" w:eastAsia="仿宋"/>
          <w:kern w:val="0"/>
          <w:sz w:val="24"/>
          <w:highlight w:val="none"/>
        </w:rPr>
        <w:t>竞争性谈判</w:t>
      </w:r>
      <w:r>
        <w:rPr>
          <w:rFonts w:ascii="仿宋" w:hAnsi="仿宋" w:eastAsia="仿宋"/>
          <w:kern w:val="0"/>
          <w:sz w:val="24"/>
          <w:highlight w:val="none"/>
        </w:rPr>
        <w:t>文件的全部内容，包括但不限于合同文件、技术要求、附表、澄清、补遗以及</w:t>
      </w:r>
      <w:r>
        <w:rPr>
          <w:rFonts w:hint="eastAsia" w:ascii="仿宋" w:hAnsi="仿宋" w:eastAsia="仿宋"/>
          <w:kern w:val="0"/>
          <w:sz w:val="24"/>
          <w:highlight w:val="none"/>
        </w:rPr>
        <w:t>竞争性谈判</w:t>
      </w:r>
      <w:r>
        <w:rPr>
          <w:rFonts w:ascii="仿宋" w:hAnsi="仿宋" w:eastAsia="仿宋"/>
          <w:kern w:val="0"/>
          <w:sz w:val="24"/>
          <w:highlight w:val="none"/>
        </w:rPr>
        <w:t>文件中所列的事项，并完全理解和同意放弃对这方面有不明及误解的权利。</w:t>
      </w:r>
    </w:p>
    <w:p>
      <w:pPr>
        <w:adjustRightInd w:val="0"/>
        <w:snapToGrid w:val="0"/>
        <w:spacing w:line="420" w:lineRule="exact"/>
        <w:ind w:firstLine="480" w:firstLineChars="200"/>
        <w:jc w:val="left"/>
        <w:rPr>
          <w:rFonts w:hint="eastAsia" w:ascii="仿宋" w:hAnsi="仿宋" w:eastAsia="仿宋"/>
          <w:kern w:val="0"/>
          <w:sz w:val="24"/>
          <w:highlight w:val="none"/>
        </w:rPr>
      </w:pPr>
      <w:r>
        <w:rPr>
          <w:rFonts w:ascii="仿宋" w:hAnsi="仿宋" w:eastAsia="仿宋"/>
          <w:kern w:val="0"/>
          <w:sz w:val="24"/>
          <w:highlight w:val="none"/>
        </w:rPr>
        <w:t>我方愿意以人民币（大写）</w:t>
      </w:r>
      <w:r>
        <w:rPr>
          <w:rFonts w:ascii="仿宋" w:hAnsi="仿宋" w:eastAsia="仿宋"/>
          <w:kern w:val="0"/>
          <w:sz w:val="24"/>
          <w:highlight w:val="none"/>
          <w:u w:val="single"/>
        </w:rPr>
        <w:t xml:space="preserve">           </w:t>
      </w:r>
      <w:r>
        <w:rPr>
          <w:rFonts w:ascii="仿宋" w:hAnsi="仿宋" w:eastAsia="仿宋"/>
          <w:kern w:val="0"/>
          <w:sz w:val="24"/>
          <w:highlight w:val="none"/>
        </w:rPr>
        <w:t>元（￥</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的</w:t>
      </w:r>
      <w:r>
        <w:rPr>
          <w:rFonts w:ascii="仿宋" w:hAnsi="仿宋" w:eastAsia="仿宋"/>
          <w:kern w:val="0"/>
          <w:sz w:val="24"/>
          <w:highlight w:val="none"/>
        </w:rPr>
        <w:t>总报价</w:t>
      </w:r>
      <w:r>
        <w:rPr>
          <w:rFonts w:hint="eastAsia" w:ascii="仿宋" w:hAnsi="仿宋" w:eastAsia="仿宋"/>
          <w:kern w:val="0"/>
          <w:sz w:val="24"/>
          <w:highlight w:val="none"/>
        </w:rPr>
        <w:t>，税率</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w:t>
      </w:r>
      <w:r>
        <w:rPr>
          <w:rFonts w:ascii="仿宋" w:hAnsi="仿宋" w:eastAsia="仿宋"/>
          <w:kern w:val="0"/>
          <w:sz w:val="24"/>
          <w:highlight w:val="none"/>
        </w:rPr>
        <w:t>交货地点为</w:t>
      </w:r>
      <w:r>
        <w:rPr>
          <w:rFonts w:hint="eastAsia" w:ascii="仿宋" w:hAnsi="仿宋" w:eastAsia="仿宋"/>
          <w:kern w:val="0"/>
          <w:sz w:val="24"/>
          <w:highlight w:val="none"/>
          <w:u w:val="single"/>
        </w:rPr>
        <w:t xml:space="preserve"> </w:t>
      </w:r>
      <w:r>
        <w:rPr>
          <w:rFonts w:ascii="仿宋" w:hAnsi="仿宋" w:eastAsia="仿宋"/>
          <w:kern w:val="0"/>
          <w:sz w:val="24"/>
          <w:highlight w:val="none"/>
          <w:u w:val="single"/>
        </w:rPr>
        <w:t xml:space="preserve">          </w:t>
      </w:r>
      <w:r>
        <w:rPr>
          <w:rFonts w:ascii="仿宋" w:hAnsi="仿宋" w:eastAsia="仿宋"/>
          <w:kern w:val="0"/>
          <w:sz w:val="24"/>
          <w:highlight w:val="none"/>
        </w:rPr>
        <w:t>，按合同约定</w:t>
      </w:r>
      <w:r>
        <w:rPr>
          <w:rFonts w:hint="eastAsia" w:ascii="仿宋" w:hAnsi="仿宋" w:eastAsia="仿宋"/>
          <w:kern w:val="0"/>
          <w:sz w:val="24"/>
          <w:highlight w:val="none"/>
        </w:rPr>
        <w:t>提供</w:t>
      </w:r>
      <w:r>
        <w:rPr>
          <w:rFonts w:ascii="仿宋" w:hAnsi="仿宋" w:eastAsia="仿宋"/>
          <w:kern w:val="0"/>
          <w:sz w:val="24"/>
          <w:highlight w:val="none"/>
        </w:rPr>
        <w:t>货物和技术服务</w:t>
      </w:r>
      <w:r>
        <w:rPr>
          <w:rFonts w:hint="eastAsia" w:ascii="仿宋" w:hAnsi="仿宋" w:eastAsia="仿宋"/>
          <w:kern w:val="0"/>
          <w:sz w:val="24"/>
          <w:highlight w:val="none"/>
        </w:rPr>
        <w:t>。</w:t>
      </w:r>
    </w:p>
    <w:p>
      <w:pPr>
        <w:adjustRightInd w:val="0"/>
        <w:snapToGrid w:val="0"/>
        <w:spacing w:line="420" w:lineRule="exact"/>
        <w:ind w:firstLine="480" w:firstLineChars="200"/>
        <w:jc w:val="left"/>
        <w:rPr>
          <w:rFonts w:hint="eastAsia"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如我方</w:t>
      </w:r>
      <w:r>
        <w:rPr>
          <w:rFonts w:hint="eastAsia" w:ascii="仿宋" w:hAnsi="仿宋" w:eastAsia="仿宋"/>
          <w:sz w:val="24"/>
          <w:highlight w:val="none"/>
        </w:rPr>
        <w:t>成交</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（1）我方承诺在收到</w:t>
      </w:r>
      <w:r>
        <w:rPr>
          <w:rFonts w:hint="eastAsia" w:ascii="仿宋" w:hAnsi="仿宋" w:eastAsia="仿宋"/>
          <w:sz w:val="24"/>
          <w:highlight w:val="none"/>
        </w:rPr>
        <w:t>成交</w:t>
      </w:r>
      <w:r>
        <w:rPr>
          <w:rFonts w:ascii="仿宋" w:hAnsi="仿宋" w:eastAsia="仿宋"/>
          <w:sz w:val="24"/>
          <w:highlight w:val="none"/>
        </w:rPr>
        <w:t>通知书后，在</w:t>
      </w:r>
      <w:r>
        <w:rPr>
          <w:rFonts w:hint="eastAsia" w:ascii="仿宋" w:hAnsi="仿宋" w:eastAsia="仿宋"/>
          <w:sz w:val="24"/>
          <w:highlight w:val="none"/>
        </w:rPr>
        <w:t>成交</w:t>
      </w:r>
      <w:r>
        <w:rPr>
          <w:rFonts w:ascii="仿宋" w:hAnsi="仿宋" w:eastAsia="仿宋"/>
          <w:sz w:val="24"/>
          <w:highlight w:val="none"/>
        </w:rPr>
        <w:t>通知书规定的期限内与你方签订合同。</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（2）我方承诺按照</w:t>
      </w:r>
      <w:r>
        <w:rPr>
          <w:rFonts w:hint="eastAsia" w:ascii="仿宋" w:hAnsi="仿宋" w:eastAsia="仿宋"/>
          <w:sz w:val="24"/>
          <w:highlight w:val="none"/>
        </w:rPr>
        <w:t>竞争性谈判</w:t>
      </w:r>
      <w:r>
        <w:rPr>
          <w:rFonts w:ascii="仿宋" w:hAnsi="仿宋" w:eastAsia="仿宋"/>
          <w:sz w:val="24"/>
          <w:highlight w:val="none"/>
        </w:rPr>
        <w:t>文件要求向你方递交履约担保。</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（3）我方承诺在合同约定的期限内</w:t>
      </w:r>
      <w:r>
        <w:rPr>
          <w:rFonts w:hint="eastAsia" w:ascii="仿宋" w:hAnsi="仿宋" w:eastAsia="仿宋"/>
          <w:sz w:val="24"/>
          <w:highlight w:val="none"/>
        </w:rPr>
        <w:t>供货</w:t>
      </w:r>
      <w:r>
        <w:rPr>
          <w:rFonts w:ascii="仿宋" w:hAnsi="仿宋" w:eastAsia="仿宋"/>
          <w:sz w:val="24"/>
          <w:highlight w:val="none"/>
        </w:rPr>
        <w:t>。</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（4）保证忠实地执行双方所签的经济合同，并承担合同规定的责任义务。</w:t>
      </w:r>
    </w:p>
    <w:p>
      <w:pPr>
        <w:adjustRightInd w:val="0"/>
        <w:snapToGrid w:val="0"/>
        <w:spacing w:line="420" w:lineRule="exact"/>
        <w:ind w:firstLine="480" w:firstLineChars="200"/>
        <w:rPr>
          <w:rFonts w:hint="eastAsia"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我方</w:t>
      </w:r>
      <w:r>
        <w:rPr>
          <w:rFonts w:ascii="仿宋" w:hAnsi="仿宋" w:eastAsia="仿宋"/>
          <w:sz w:val="24"/>
          <w:highlight w:val="none"/>
        </w:rPr>
        <w:t>愿意向贵方提供任何与该项</w:t>
      </w:r>
      <w:r>
        <w:rPr>
          <w:rFonts w:hint="eastAsia" w:ascii="仿宋" w:hAnsi="仿宋" w:eastAsia="仿宋"/>
          <w:sz w:val="24"/>
          <w:highlight w:val="none"/>
        </w:rPr>
        <w:t>竞争性谈判</w:t>
      </w:r>
      <w:r>
        <w:rPr>
          <w:rFonts w:ascii="仿宋" w:hAnsi="仿宋" w:eastAsia="仿宋"/>
          <w:sz w:val="24"/>
          <w:highlight w:val="none"/>
        </w:rPr>
        <w:t>有关的数据、情况和技术数据。</w:t>
      </w:r>
    </w:p>
    <w:p>
      <w:pPr>
        <w:adjustRightInd w:val="0"/>
        <w:snapToGrid w:val="0"/>
        <w:spacing w:line="420" w:lineRule="exact"/>
        <w:ind w:firstLine="480" w:firstLineChars="200"/>
        <w:rPr>
          <w:rFonts w:hint="eastAsia"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、本</w:t>
      </w:r>
      <w:r>
        <w:rPr>
          <w:rFonts w:hint="eastAsia" w:ascii="仿宋" w:hAnsi="仿宋" w:eastAsia="仿宋"/>
          <w:sz w:val="24"/>
          <w:highlight w:val="none"/>
        </w:rPr>
        <w:t>报价</w:t>
      </w:r>
      <w:r>
        <w:rPr>
          <w:rFonts w:ascii="仿宋" w:hAnsi="仿宋" w:eastAsia="仿宋"/>
          <w:sz w:val="24"/>
          <w:highlight w:val="none"/>
        </w:rPr>
        <w:t>自</w:t>
      </w:r>
      <w:r>
        <w:rPr>
          <w:rFonts w:hint="eastAsia" w:ascii="仿宋" w:hAnsi="仿宋" w:eastAsia="仿宋"/>
          <w:sz w:val="24"/>
          <w:highlight w:val="none"/>
        </w:rPr>
        <w:t>响应</w:t>
      </w:r>
      <w:r>
        <w:rPr>
          <w:rFonts w:ascii="仿宋" w:hAnsi="仿宋" w:eastAsia="仿宋"/>
          <w:sz w:val="24"/>
          <w:highlight w:val="none"/>
        </w:rPr>
        <w:t>截止之日起</w:t>
      </w:r>
      <w:r>
        <w:rPr>
          <w:rFonts w:ascii="仿宋" w:hAnsi="仿宋" w:eastAsia="仿宋"/>
          <w:b/>
          <w:sz w:val="24"/>
          <w:highlight w:val="none"/>
          <w:u w:val="single"/>
        </w:rPr>
        <w:t>**</w:t>
      </w:r>
      <w:r>
        <w:rPr>
          <w:rFonts w:ascii="仿宋" w:hAnsi="仿宋" w:eastAsia="仿宋"/>
          <w:sz w:val="24"/>
          <w:highlight w:val="none"/>
        </w:rPr>
        <w:t>日内有效。</w:t>
      </w:r>
    </w:p>
    <w:p>
      <w:pPr>
        <w:adjustRightInd w:val="0"/>
        <w:snapToGrid w:val="0"/>
        <w:spacing w:line="420" w:lineRule="exact"/>
        <w:ind w:firstLine="480" w:firstLineChars="200"/>
        <w:rPr>
          <w:rFonts w:hint="eastAsia" w:ascii="仿宋" w:hAnsi="仿宋" w:eastAsia="仿宋"/>
          <w:sz w:val="24"/>
          <w:highlight w:val="none"/>
        </w:rPr>
      </w:pP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响应人（章）：</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法定代表人或</w:t>
      </w:r>
      <w:r>
        <w:rPr>
          <w:rFonts w:hint="eastAsia" w:ascii="仿宋" w:hAnsi="仿宋" w:eastAsia="仿宋"/>
          <w:sz w:val="24"/>
          <w:highlight w:val="none"/>
        </w:rPr>
        <w:t>委托代理</w:t>
      </w:r>
      <w:r>
        <w:rPr>
          <w:rFonts w:ascii="仿宋" w:hAnsi="仿宋" w:eastAsia="仿宋"/>
          <w:sz w:val="24"/>
          <w:highlight w:val="none"/>
        </w:rPr>
        <w:t>人（签字）：</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联系人：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电话：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传真：</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 xml:space="preserve">开户银行：              </w:t>
      </w:r>
    </w:p>
    <w:p>
      <w:pPr>
        <w:spacing w:before="60" w:after="60" w:line="420" w:lineRule="exact"/>
        <w:ind w:firstLine="3960" w:firstLineChars="1650"/>
        <w:rPr>
          <w:rFonts w:hint="eastAsia" w:ascii="仿宋" w:hAnsi="仿宋" w:eastAsia="仿宋"/>
          <w:sz w:val="24"/>
          <w:highlight w:val="none"/>
        </w:rPr>
      </w:pPr>
      <w:r>
        <w:rPr>
          <w:rFonts w:ascii="仿宋" w:hAnsi="仿宋" w:eastAsia="仿宋"/>
          <w:sz w:val="24"/>
          <w:highlight w:val="none"/>
        </w:rPr>
        <w:t>帐号：</w:t>
      </w:r>
    </w:p>
    <w:p>
      <w:pPr>
        <w:spacing w:line="500" w:lineRule="exact"/>
        <w:rPr>
          <w:rFonts w:hint="eastAsia" w:ascii="仿宋" w:hAnsi="仿宋" w:eastAsia="仿宋"/>
          <w:b/>
          <w:sz w:val="44"/>
          <w:szCs w:val="44"/>
          <w:highlight w:val="none"/>
        </w:rPr>
      </w:pPr>
      <w:r>
        <w:rPr>
          <w:rFonts w:ascii="仿宋" w:hAnsi="仿宋" w:eastAsia="仿宋"/>
          <w:sz w:val="24"/>
          <w:highlight w:val="none"/>
        </w:rPr>
        <w:t xml:space="preserve">                                 年  月   日</w:t>
      </w:r>
    </w:p>
    <w:p>
      <w:pPr>
        <w:pStyle w:val="5"/>
        <w:numPr>
          <w:ilvl w:val="0"/>
          <w:numId w:val="18"/>
        </w:numPr>
        <w:rPr>
          <w:rFonts w:hint="eastAsia"/>
          <w:highlight w:val="none"/>
        </w:rPr>
      </w:pPr>
      <w:bookmarkStart w:id="191" w:name="_Toc433814133"/>
      <w:bookmarkStart w:id="192" w:name="附件二、法定代表人授权委托书"/>
      <w:r>
        <w:rPr>
          <w:highlight w:val="none"/>
        </w:rPr>
        <w:br w:type="page"/>
      </w:r>
      <w:bookmarkStart w:id="193" w:name="_Toc58490815"/>
      <w:r>
        <w:rPr>
          <w:rFonts w:hint="eastAsia"/>
          <w:highlight w:val="none"/>
        </w:rPr>
        <w:t>法定代表人授权委托书</w:t>
      </w:r>
      <w:bookmarkEnd w:id="191"/>
      <w:bookmarkEnd w:id="193"/>
      <w:r>
        <w:rPr>
          <w:rFonts w:hint="eastAsia"/>
          <w:highlight w:val="none"/>
        </w:rPr>
        <w:t xml:space="preserve"> </w:t>
      </w:r>
    </w:p>
    <w:bookmarkEnd w:id="192"/>
    <w:p>
      <w:pPr>
        <w:spacing w:after="156" w:afterLines="50" w:line="360" w:lineRule="auto"/>
        <w:jc w:val="center"/>
        <w:rPr>
          <w:rFonts w:hint="eastAsia" w:ascii="仿宋" w:hAnsi="仿宋" w:eastAsia="仿宋"/>
          <w:b/>
          <w:sz w:val="36"/>
          <w:szCs w:val="36"/>
          <w:highlight w:val="none"/>
        </w:rPr>
      </w:pPr>
      <w:r>
        <w:rPr>
          <w:rFonts w:ascii="仿宋" w:hAnsi="仿宋" w:eastAsia="仿宋"/>
          <w:b/>
          <w:sz w:val="36"/>
          <w:szCs w:val="36"/>
          <w:highlight w:val="none"/>
        </w:rPr>
        <w:t>法定代表人授权委托书</w:t>
      </w: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本人</w:t>
      </w:r>
      <w:r>
        <w:rPr>
          <w:rFonts w:ascii="仿宋" w:hAnsi="仿宋" w:eastAsia="仿宋"/>
          <w:sz w:val="24"/>
          <w:highlight w:val="none"/>
          <w:u w:val="single"/>
        </w:rPr>
        <w:t xml:space="preserve">   （姓名）  </w:t>
      </w:r>
      <w:r>
        <w:rPr>
          <w:rFonts w:ascii="仿宋" w:hAnsi="仿宋" w:eastAsia="仿宋"/>
          <w:sz w:val="24"/>
          <w:highlight w:val="none"/>
        </w:rPr>
        <w:t>系</w:t>
      </w:r>
      <w:r>
        <w:rPr>
          <w:rFonts w:ascii="仿宋" w:hAnsi="仿宋" w:eastAsia="仿宋"/>
          <w:sz w:val="24"/>
          <w:highlight w:val="none"/>
          <w:u w:val="single"/>
        </w:rPr>
        <w:t xml:space="preserve">     （</w:t>
      </w:r>
      <w:r>
        <w:rPr>
          <w:rFonts w:hint="eastAsia" w:ascii="仿宋" w:hAnsi="仿宋" w:eastAsia="仿宋"/>
          <w:sz w:val="24"/>
          <w:highlight w:val="none"/>
          <w:u w:val="single"/>
        </w:rPr>
        <w:t>响应</w:t>
      </w:r>
      <w:r>
        <w:rPr>
          <w:rFonts w:ascii="仿宋" w:hAnsi="仿宋" w:eastAsia="仿宋"/>
          <w:sz w:val="24"/>
          <w:highlight w:val="none"/>
          <w:u w:val="single"/>
        </w:rPr>
        <w:t xml:space="preserve">人）      </w:t>
      </w:r>
      <w:r>
        <w:rPr>
          <w:rFonts w:ascii="仿宋" w:hAnsi="仿宋" w:eastAsia="仿宋"/>
          <w:sz w:val="24"/>
          <w:highlight w:val="none"/>
        </w:rPr>
        <w:t>的法定代表人，现委托</w:t>
      </w:r>
      <w:r>
        <w:rPr>
          <w:rFonts w:ascii="仿宋" w:hAnsi="仿宋" w:eastAsia="仿宋"/>
          <w:sz w:val="24"/>
          <w:highlight w:val="none"/>
          <w:u w:val="single"/>
        </w:rPr>
        <w:t xml:space="preserve">  （姓名） </w:t>
      </w:r>
      <w:r>
        <w:rPr>
          <w:rFonts w:ascii="仿宋" w:hAnsi="仿宋" w:eastAsia="仿宋"/>
          <w:sz w:val="24"/>
          <w:highlight w:val="none"/>
        </w:rPr>
        <w:t>为我方代理人。代理人根据授权，以我方名义签署、澄清、</w:t>
      </w:r>
      <w:r>
        <w:rPr>
          <w:rFonts w:hint="eastAsia" w:ascii="仿宋" w:hAnsi="仿宋" w:eastAsia="仿宋"/>
          <w:sz w:val="24"/>
          <w:highlight w:val="none"/>
        </w:rPr>
        <w:t>说明、补正</w:t>
      </w:r>
      <w:r>
        <w:rPr>
          <w:rFonts w:ascii="仿宋" w:hAnsi="仿宋" w:eastAsia="仿宋"/>
          <w:sz w:val="24"/>
          <w:highlight w:val="none"/>
        </w:rPr>
        <w:t>、递交、撤回、修改</w:t>
      </w:r>
      <w:r>
        <w:rPr>
          <w:rFonts w:ascii="仿宋" w:hAnsi="仿宋" w:eastAsia="仿宋"/>
          <w:sz w:val="24"/>
          <w:highlight w:val="none"/>
          <w:u w:val="single"/>
        </w:rPr>
        <w:t xml:space="preserve">     （项目名称）    </w:t>
      </w:r>
      <w:r>
        <w:rPr>
          <w:rFonts w:hint="eastAsia" w:ascii="仿宋" w:hAnsi="仿宋" w:eastAsia="仿宋"/>
          <w:sz w:val="24"/>
          <w:highlight w:val="none"/>
        </w:rPr>
        <w:t>竞争性谈判响应</w:t>
      </w:r>
      <w:r>
        <w:rPr>
          <w:rFonts w:ascii="仿宋" w:hAnsi="仿宋" w:eastAsia="仿宋"/>
          <w:sz w:val="24"/>
          <w:highlight w:val="none"/>
        </w:rPr>
        <w:t>文件，其提交的</w:t>
      </w:r>
      <w:r>
        <w:rPr>
          <w:rFonts w:hint="eastAsia" w:ascii="仿宋" w:hAnsi="仿宋" w:eastAsia="仿宋"/>
          <w:sz w:val="24"/>
          <w:highlight w:val="none"/>
        </w:rPr>
        <w:t>竞争性谈判响应</w:t>
      </w:r>
      <w:r>
        <w:rPr>
          <w:rFonts w:ascii="仿宋" w:hAnsi="仿宋" w:eastAsia="仿宋"/>
          <w:sz w:val="24"/>
          <w:highlight w:val="none"/>
        </w:rPr>
        <w:t>文件内容我方均承认，法律后果由我方承担。</w:t>
      </w: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委托期限：</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年</w:t>
      </w:r>
      <w:r>
        <w:rPr>
          <w:rFonts w:hint="eastAsia" w:ascii="仿宋" w:hAnsi="仿宋" w:eastAsia="仿宋"/>
          <w:sz w:val="24"/>
          <w:highlight w:val="none"/>
          <w:u w:val="single"/>
        </w:rPr>
        <w:t xml:space="preserve">  </w:t>
      </w:r>
      <w:r>
        <w:rPr>
          <w:rFonts w:ascii="仿宋" w:hAnsi="仿宋" w:eastAsia="仿宋"/>
          <w:sz w:val="24"/>
          <w:highlight w:val="none"/>
          <w:u w:val="single"/>
        </w:rPr>
        <w:t>月</w:t>
      </w:r>
      <w:r>
        <w:rPr>
          <w:rFonts w:hint="eastAsia" w:ascii="仿宋" w:hAnsi="仿宋" w:eastAsia="仿宋"/>
          <w:sz w:val="24"/>
          <w:highlight w:val="none"/>
          <w:u w:val="single"/>
        </w:rPr>
        <w:t xml:space="preserve">  </w:t>
      </w:r>
      <w:r>
        <w:rPr>
          <w:rFonts w:ascii="仿宋" w:hAnsi="仿宋" w:eastAsia="仿宋"/>
          <w:sz w:val="24"/>
          <w:highlight w:val="none"/>
          <w:u w:val="single"/>
        </w:rPr>
        <w:t>日</w:t>
      </w:r>
      <w:r>
        <w:rPr>
          <w:rFonts w:hint="eastAsia" w:ascii="仿宋" w:hAnsi="仿宋" w:eastAsia="仿宋"/>
          <w:sz w:val="24"/>
          <w:highlight w:val="none"/>
          <w:u w:val="single"/>
        </w:rPr>
        <w:t>——    年  月  日</w:t>
      </w:r>
      <w:r>
        <w:rPr>
          <w:rFonts w:ascii="仿宋" w:hAnsi="仿宋" w:eastAsia="仿宋"/>
          <w:sz w:val="24"/>
          <w:highlight w:val="none"/>
          <w:u w:val="single"/>
        </w:rPr>
        <w:t xml:space="preserve"> </w:t>
      </w:r>
      <w:r>
        <w:rPr>
          <w:rFonts w:hint="eastAsia" w:ascii="仿宋" w:hAnsi="仿宋" w:eastAsia="仿宋"/>
          <w:sz w:val="24"/>
          <w:highlight w:val="none"/>
        </w:rPr>
        <w:t>。</w:t>
      </w: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代理人无转委托权。</w:t>
      </w:r>
    </w:p>
    <w:p>
      <w:pPr>
        <w:widowControl/>
        <w:spacing w:line="360" w:lineRule="auto"/>
        <w:jc w:val="left"/>
        <w:rPr>
          <w:rFonts w:hint="eastAsia" w:ascii="仿宋" w:hAnsi="仿宋" w:eastAsia="仿宋"/>
          <w:sz w:val="24"/>
          <w:highlight w:val="none"/>
        </w:rPr>
      </w:pPr>
    </w:p>
    <w:p>
      <w:pPr>
        <w:adjustRightInd w:val="0"/>
        <w:snapToGrid w:val="0"/>
        <w:spacing w:after="156" w:line="360" w:lineRule="auto"/>
        <w:ind w:firstLine="540" w:firstLineChars="225"/>
        <w:rPr>
          <w:rFonts w:hint="eastAsia" w:ascii="仿宋" w:hAnsi="仿宋" w:eastAsia="仿宋"/>
          <w:sz w:val="24"/>
          <w:highlight w:val="none"/>
          <w:u w:val="single"/>
        </w:rPr>
      </w:pPr>
      <w:r>
        <w:rPr>
          <w:rFonts w:ascii="仿宋" w:hAnsi="仿宋" w:eastAsia="仿宋"/>
          <w:sz w:val="24"/>
          <w:highlight w:val="none"/>
        </w:rPr>
        <w:t>响应人（盖</w:t>
      </w:r>
      <w:r>
        <w:rPr>
          <w:rFonts w:hint="eastAsia" w:ascii="仿宋" w:hAnsi="仿宋" w:eastAsia="仿宋"/>
          <w:sz w:val="24"/>
          <w:highlight w:val="none"/>
        </w:rPr>
        <w:t>单位</w:t>
      </w:r>
      <w:r>
        <w:rPr>
          <w:rFonts w:ascii="仿宋" w:hAnsi="仿宋" w:eastAsia="仿宋"/>
          <w:sz w:val="24"/>
          <w:highlight w:val="none"/>
        </w:rPr>
        <w:t>章）：</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u w:val="single"/>
        </w:rPr>
      </w:pPr>
      <w:r>
        <w:rPr>
          <w:rFonts w:ascii="仿宋" w:hAnsi="仿宋" w:eastAsia="仿宋"/>
          <w:sz w:val="24"/>
          <w:highlight w:val="none"/>
        </w:rPr>
        <w:t>法定代表人（签字）：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adjustRightInd w:val="0"/>
        <w:snapToGrid w:val="0"/>
        <w:spacing w:line="360" w:lineRule="auto"/>
        <w:ind w:firstLine="540" w:firstLineChars="225"/>
        <w:rPr>
          <w:rFonts w:hint="eastAsia" w:ascii="仿宋" w:hAnsi="仿宋" w:eastAsia="仿宋"/>
          <w:sz w:val="24"/>
          <w:highlight w:val="none"/>
        </w:rPr>
      </w:pPr>
      <w:r>
        <w:rPr>
          <w:rFonts w:ascii="仿宋" w:hAnsi="仿宋" w:eastAsia="仿宋"/>
          <w:sz w:val="24"/>
          <w:highlight w:val="none"/>
        </w:rPr>
        <w:t>委托代理人（签字）：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hint="eastAsia" w:ascii="仿宋" w:hAnsi="仿宋" w:eastAsia="仿宋"/>
          <w:sz w:val="24"/>
          <w:highlight w:val="none"/>
        </w:rPr>
      </w:pPr>
    </w:p>
    <w:p>
      <w:pPr>
        <w:widowControl/>
        <w:spacing w:after="156" w:line="360" w:lineRule="auto"/>
        <w:ind w:firstLine="540" w:firstLineChars="225"/>
        <w:jc w:val="left"/>
        <w:rPr>
          <w:rFonts w:hint="eastAsia" w:ascii="仿宋" w:hAnsi="仿宋" w:eastAsia="仿宋"/>
          <w:sz w:val="24"/>
          <w:highlight w:val="none"/>
          <w:u w:val="singl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widowControl/>
        <w:spacing w:after="156" w:line="360" w:lineRule="auto"/>
        <w:ind w:firstLine="540" w:firstLineChars="225"/>
        <w:jc w:val="left"/>
        <w:rPr>
          <w:rFonts w:hint="eastAsia" w:ascii="仿宋" w:hAnsi="仿宋" w:eastAsia="仿宋"/>
          <w:sz w:val="24"/>
          <w:highlight w:val="none"/>
          <w:u w:val="single"/>
        </w:rPr>
      </w:pPr>
    </w:p>
    <w:p>
      <w:pPr>
        <w:widowControl/>
        <w:spacing w:after="156" w:line="360" w:lineRule="auto"/>
        <w:ind w:firstLine="540" w:firstLineChars="225"/>
        <w:jc w:val="left"/>
        <w:rPr>
          <w:rFonts w:hint="eastAsia" w:ascii="仿宋" w:hAnsi="仿宋" w:eastAsia="仿宋"/>
          <w:sz w:val="24"/>
          <w:highlight w:val="none"/>
          <w:u w:val="single"/>
        </w:rPr>
      </w:pPr>
      <w:r>
        <w:rPr>
          <w:rFonts w:hint="eastAsia"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pPr>
        <w:widowControl/>
        <w:spacing w:after="156" w:line="360" w:lineRule="auto"/>
        <w:ind w:firstLine="540" w:firstLineChars="225"/>
        <w:jc w:val="left"/>
        <w:rPr>
          <w:rFonts w:hint="eastAsia" w:ascii="仿宋" w:hAnsi="仿宋" w:eastAsia="仿宋"/>
          <w:sz w:val="24"/>
          <w:highlight w:val="none"/>
        </w:rPr>
      </w:pPr>
    </w:p>
    <w:p>
      <w:pPr>
        <w:widowControl/>
        <w:spacing w:after="156" w:line="360" w:lineRule="auto"/>
        <w:ind w:firstLine="540" w:firstLineChars="225"/>
        <w:jc w:val="left"/>
        <w:rPr>
          <w:rFonts w:hint="eastAsia" w:ascii="仿宋" w:hAnsi="仿宋" w:eastAsia="仿宋"/>
          <w:sz w:val="24"/>
          <w:highlight w:val="none"/>
        </w:rPr>
      </w:pPr>
      <w:r>
        <w:rPr>
          <w:rFonts w:hint="eastAsia" w:ascii="仿宋" w:hAnsi="仿宋" w:eastAsia="仿宋"/>
          <w:sz w:val="24"/>
          <w:highlight w:val="none"/>
        </w:rPr>
        <w:t>附身份证复印件</w:t>
      </w:r>
    </w:p>
    <w:p>
      <w:pPr>
        <w:pStyle w:val="5"/>
        <w:numPr>
          <w:ilvl w:val="0"/>
          <w:numId w:val="18"/>
        </w:numPr>
        <w:rPr>
          <w:rFonts w:hint="eastAsia"/>
          <w:highlight w:val="none"/>
        </w:rPr>
      </w:pPr>
      <w:r>
        <w:rPr>
          <w:highlight w:val="none"/>
        </w:rPr>
        <w:br w:type="page"/>
      </w:r>
      <w:bookmarkStart w:id="194" w:name="_Toc58490817"/>
      <w:r>
        <w:rPr>
          <w:rFonts w:hint="eastAsia"/>
          <w:highlight w:val="none"/>
        </w:rPr>
        <w:t>报价表</w:t>
      </w:r>
      <w:bookmarkEnd w:id="194"/>
    </w:p>
    <w:p>
      <w:pPr>
        <w:spacing w:line="360" w:lineRule="auto"/>
        <w:rPr>
          <w:highlight w:val="none"/>
        </w:rPr>
      </w:pPr>
      <w:bookmarkStart w:id="195" w:name="报价汇总表"/>
    </w:p>
    <w:p>
      <w:pPr>
        <w:spacing w:line="360" w:lineRule="auto"/>
        <w:ind w:left="99" w:leftChars="47"/>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报价表</w:t>
      </w:r>
    </w:p>
    <w:tbl>
      <w:tblPr>
        <w:tblStyle w:val="20"/>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18"/>
        <w:gridCol w:w="2025"/>
        <w:gridCol w:w="1066"/>
        <w:gridCol w:w="2246"/>
        <w:gridCol w:w="2075"/>
        <w:gridCol w:w="92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47" w:hRule="atLeast"/>
          <w:tblHeader/>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02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开发模块名称</w:t>
            </w:r>
          </w:p>
        </w:tc>
        <w:tc>
          <w:tcPr>
            <w:tcW w:w="1066"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数量</w:t>
            </w:r>
          </w:p>
        </w:tc>
        <w:tc>
          <w:tcPr>
            <w:tcW w:w="2246"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单价（万元）</w:t>
            </w:r>
          </w:p>
        </w:tc>
        <w:tc>
          <w:tcPr>
            <w:tcW w:w="207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总价（万元）</w:t>
            </w:r>
          </w:p>
        </w:tc>
        <w:tc>
          <w:tcPr>
            <w:tcW w:w="925"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税率</w:t>
            </w:r>
          </w:p>
        </w:tc>
        <w:tc>
          <w:tcPr>
            <w:tcW w:w="1061"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025" w:type="dxa"/>
            <w:vAlign w:val="center"/>
          </w:tcPr>
          <w:p>
            <w:pPr>
              <w:widowControl/>
              <w:jc w:val="center"/>
              <w:textAlignment w:val="center"/>
              <w:rPr>
                <w:rFonts w:hint="eastAsia" w:ascii="仿宋" w:hAnsi="仿宋" w:eastAsia="仿宋" w:cs="仿宋"/>
                <w:sz w:val="24"/>
                <w:highlight w:val="none"/>
              </w:rPr>
            </w:pPr>
            <w:r>
              <w:rPr>
                <w:rFonts w:ascii="仿宋" w:hAnsi="仿宋" w:eastAsia="仿宋" w:cs="仿宋"/>
                <w:sz w:val="24"/>
                <w:highlight w:val="none"/>
              </w:rPr>
              <w:t>组织管理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区域管理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任务管理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直播管理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航线规划及任务管理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48"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数据管理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4"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设备监控</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飞行控制</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系统管理</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00" w:hRule="atLeast"/>
          <w:jc w:val="center"/>
        </w:trPr>
        <w:tc>
          <w:tcPr>
            <w:tcW w:w="91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算法库</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11" w:hRule="atLeast"/>
          <w:jc w:val="center"/>
        </w:trPr>
        <w:tc>
          <w:tcPr>
            <w:tcW w:w="918" w:type="dxa"/>
            <w:vAlign w:val="center"/>
          </w:tcPr>
          <w:p>
            <w:pPr>
              <w:spacing w:line="360" w:lineRule="auto"/>
              <w:jc w:val="center"/>
              <w:rPr>
                <w:rFonts w:hint="eastAsia" w:ascii="仿宋" w:hAnsi="仿宋" w:eastAsia="仿宋" w:cs="仿宋"/>
                <w:sz w:val="24"/>
                <w:highlight w:val="none"/>
              </w:rPr>
            </w:pPr>
          </w:p>
        </w:tc>
        <w:tc>
          <w:tcPr>
            <w:tcW w:w="2025" w:type="dxa"/>
            <w:vAlign w:val="center"/>
          </w:tcPr>
          <w:p>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1066" w:type="dxa"/>
            <w:vAlign w:val="center"/>
          </w:tcPr>
          <w:p>
            <w:pPr>
              <w:spacing w:line="360" w:lineRule="auto"/>
              <w:jc w:val="center"/>
              <w:rPr>
                <w:rFonts w:hint="eastAsia" w:ascii="仿宋" w:hAnsi="仿宋" w:eastAsia="仿宋" w:cs="仿宋"/>
                <w:sz w:val="24"/>
                <w:highlight w:val="none"/>
              </w:rPr>
            </w:pPr>
          </w:p>
        </w:tc>
        <w:tc>
          <w:tcPr>
            <w:tcW w:w="2246" w:type="dxa"/>
            <w:vAlign w:val="center"/>
          </w:tcPr>
          <w:p>
            <w:pPr>
              <w:spacing w:line="360" w:lineRule="auto"/>
              <w:jc w:val="center"/>
              <w:rPr>
                <w:rFonts w:hint="eastAsia" w:ascii="仿宋" w:hAnsi="仿宋" w:eastAsia="仿宋" w:cs="仿宋"/>
                <w:sz w:val="24"/>
                <w:highlight w:val="none"/>
              </w:rPr>
            </w:pPr>
          </w:p>
        </w:tc>
        <w:tc>
          <w:tcPr>
            <w:tcW w:w="2075" w:type="dxa"/>
            <w:vAlign w:val="center"/>
          </w:tcPr>
          <w:p>
            <w:pPr>
              <w:spacing w:line="360" w:lineRule="auto"/>
              <w:jc w:val="center"/>
              <w:rPr>
                <w:rFonts w:hint="eastAsia" w:ascii="仿宋" w:hAnsi="仿宋" w:eastAsia="仿宋" w:cs="仿宋"/>
                <w:sz w:val="24"/>
                <w:highlight w:val="none"/>
              </w:rPr>
            </w:pPr>
          </w:p>
        </w:tc>
        <w:tc>
          <w:tcPr>
            <w:tcW w:w="925" w:type="dxa"/>
            <w:vAlign w:val="center"/>
          </w:tcPr>
          <w:p>
            <w:pPr>
              <w:spacing w:line="360" w:lineRule="auto"/>
              <w:jc w:val="center"/>
              <w:rPr>
                <w:rFonts w:hint="eastAsia" w:ascii="仿宋" w:hAnsi="仿宋" w:eastAsia="仿宋" w:cs="仿宋"/>
                <w:sz w:val="24"/>
                <w:highlight w:val="none"/>
              </w:rPr>
            </w:pPr>
          </w:p>
        </w:tc>
        <w:tc>
          <w:tcPr>
            <w:tcW w:w="1061" w:type="dxa"/>
            <w:vAlign w:val="center"/>
          </w:tcPr>
          <w:p>
            <w:pPr>
              <w:spacing w:line="360" w:lineRule="auto"/>
              <w:jc w:val="center"/>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注：1、报价包括开发费、测试费、人员培训费、售后服务费、管理费、税金等相关费用。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2、付款方式：按询价文件要求。如能提供更优惠的付款条件，报价人应另详细说明。</w:t>
      </w:r>
    </w:p>
    <w:p>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3、报价人需要说明的其他事项：</w:t>
      </w:r>
    </w:p>
    <w:p>
      <w:pPr>
        <w:pStyle w:val="30"/>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①、本次报价为综合单价，项目相关所产生的费用都包含在内；</w:t>
      </w:r>
    </w:p>
    <w:p>
      <w:pPr>
        <w:pStyle w:val="30"/>
        <w:spacing w:before="156" w:after="156" w:line="240" w:lineRule="auto"/>
        <w:ind w:firstLine="528"/>
        <w:rPr>
          <w:rFonts w:hint="eastAsia" w:ascii="仿宋" w:hAnsi="仿宋" w:eastAsia="仿宋" w:cs="仿宋"/>
          <w:highlight w:val="none"/>
        </w:rPr>
      </w:pPr>
      <w:r>
        <w:rPr>
          <w:rFonts w:hint="eastAsia" w:ascii="仿宋" w:hAnsi="仿宋" w:eastAsia="仿宋" w:cs="仿宋"/>
          <w:highlight w:val="none"/>
        </w:rPr>
        <w:t>②、附件3为报价人报价清单，需填写技术参数及相应价格；</w:t>
      </w:r>
    </w:p>
    <w:p>
      <w:pPr>
        <w:spacing w:line="360" w:lineRule="auto"/>
        <w:ind w:left="99" w:leftChars="47"/>
        <w:rPr>
          <w:rFonts w:hint="eastAsia" w:ascii="仿宋" w:hAnsi="仿宋" w:eastAsia="仿宋" w:cs="仿宋"/>
          <w:b/>
          <w:sz w:val="30"/>
          <w:szCs w:val="30"/>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 xml:space="preserve">报价人名称：（盖章）    </w:t>
      </w:r>
    </w:p>
    <w:p>
      <w:pPr>
        <w:spacing w:line="360" w:lineRule="auto"/>
        <w:ind w:firstLine="4080" w:firstLineChars="1700"/>
        <w:rPr>
          <w:rFonts w:hint="eastAsia" w:ascii="仿宋" w:hAnsi="仿宋" w:eastAsia="仿宋" w:cs="仿宋"/>
          <w:sz w:val="24"/>
          <w:highlight w:val="none"/>
        </w:rPr>
      </w:pPr>
    </w:p>
    <w:p>
      <w:pP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报价人代表签字：</w:t>
      </w:r>
    </w:p>
    <w:bookmarkEnd w:id="195"/>
    <w:p>
      <w:pPr>
        <w:tabs>
          <w:tab w:val="left" w:pos="945"/>
          <w:tab w:val="right" w:leader="dot" w:pos="8040"/>
        </w:tabs>
        <w:rPr>
          <w:rFonts w:hint="eastAsia" w:ascii="仿宋" w:hAnsi="仿宋" w:eastAsia="仿宋"/>
          <w:highlight w:val="none"/>
        </w:rPr>
      </w:pPr>
    </w:p>
    <w:p>
      <w:pPr>
        <w:pStyle w:val="5"/>
        <w:numPr>
          <w:ilvl w:val="0"/>
          <w:numId w:val="18"/>
        </w:numPr>
        <w:rPr>
          <w:rFonts w:hint="eastAsia"/>
          <w:highlight w:val="none"/>
        </w:rPr>
      </w:pPr>
      <w:r>
        <w:rPr>
          <w:highlight w:val="none"/>
        </w:rPr>
        <w:br w:type="page"/>
      </w:r>
      <w:bookmarkStart w:id="196" w:name="_Toc58490819"/>
      <w:bookmarkStart w:id="197" w:name="附件六"/>
      <w:r>
        <w:rPr>
          <w:rFonts w:hint="eastAsia"/>
          <w:highlight w:val="none"/>
        </w:rPr>
        <w:t>响应人信息</w:t>
      </w:r>
      <w:bookmarkEnd w:id="196"/>
      <w:bookmarkEnd w:id="197"/>
    </w:p>
    <w:p>
      <w:pPr>
        <w:spacing w:line="360" w:lineRule="auto"/>
        <w:jc w:val="center"/>
        <w:rPr>
          <w:rFonts w:hint="eastAsia" w:ascii="仿宋" w:hAnsi="仿宋" w:eastAsia="仿宋"/>
          <w:b/>
          <w:sz w:val="28"/>
          <w:szCs w:val="28"/>
          <w:highlight w:val="none"/>
        </w:rPr>
      </w:pPr>
      <w:bookmarkStart w:id="198" w:name="OLE_LINK3"/>
      <w:bookmarkStart w:id="199" w:name="OLE_LINK1"/>
      <w:bookmarkStart w:id="200" w:name="OLE_LINK2"/>
      <w:r>
        <w:rPr>
          <w:rFonts w:hint="eastAsia" w:ascii="仿宋" w:hAnsi="仿宋" w:eastAsia="仿宋"/>
          <w:b/>
          <w:sz w:val="30"/>
          <w:szCs w:val="30"/>
          <w:highlight w:val="none"/>
        </w:rPr>
        <w:t>响应人</w:t>
      </w:r>
      <w:r>
        <w:rPr>
          <w:rFonts w:hint="eastAsia" w:ascii="仿宋" w:hAnsi="仿宋" w:eastAsia="仿宋"/>
          <w:b/>
          <w:sz w:val="28"/>
          <w:szCs w:val="28"/>
          <w:highlight w:val="none"/>
        </w:rPr>
        <w:t>基本信息表</w:t>
      </w:r>
    </w:p>
    <w:bookmarkEnd w:id="198"/>
    <w:bookmarkEnd w:id="199"/>
    <w:bookmarkEnd w:id="200"/>
    <w:tbl>
      <w:tblPr>
        <w:tblStyle w:val="20"/>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393"/>
        <w:gridCol w:w="1153"/>
        <w:gridCol w:w="345"/>
        <w:gridCol w:w="931"/>
        <w:gridCol w:w="1134"/>
        <w:gridCol w:w="1183"/>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企业名称</w:t>
            </w:r>
          </w:p>
        </w:tc>
        <w:tc>
          <w:tcPr>
            <w:tcW w:w="3822" w:type="dxa"/>
            <w:gridSpan w:val="4"/>
            <w:tcBorders>
              <w:right w:val="single" w:color="auto" w:sz="4" w:space="0"/>
            </w:tcBorders>
            <w:vAlign w:val="center"/>
          </w:tcPr>
          <w:p>
            <w:pPr>
              <w:jc w:val="center"/>
              <w:rPr>
                <w:rFonts w:hint="eastAsia" w:ascii="仿宋" w:hAnsi="仿宋" w:eastAsia="仿宋"/>
                <w:highlight w:val="none"/>
              </w:rPr>
            </w:pPr>
          </w:p>
        </w:tc>
        <w:tc>
          <w:tcPr>
            <w:tcW w:w="1134" w:type="dxa"/>
            <w:tcBorders>
              <w:lef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企业性质</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企业地址</w:t>
            </w:r>
          </w:p>
        </w:tc>
        <w:tc>
          <w:tcPr>
            <w:tcW w:w="3822" w:type="dxa"/>
            <w:gridSpan w:val="4"/>
            <w:tcBorders>
              <w:right w:val="single" w:color="auto" w:sz="4" w:space="0"/>
            </w:tcBorders>
            <w:vAlign w:val="center"/>
          </w:tcPr>
          <w:p>
            <w:pPr>
              <w:jc w:val="center"/>
              <w:rPr>
                <w:rFonts w:hint="eastAsia" w:ascii="仿宋" w:hAnsi="仿宋" w:eastAsia="仿宋"/>
                <w:highlight w:val="none"/>
              </w:rPr>
            </w:pPr>
          </w:p>
        </w:tc>
        <w:tc>
          <w:tcPr>
            <w:tcW w:w="1134" w:type="dxa"/>
            <w:tcBorders>
              <w:lef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企业网址</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注册资本金</w:t>
            </w:r>
          </w:p>
          <w:p>
            <w:pPr>
              <w:jc w:val="center"/>
              <w:rPr>
                <w:rFonts w:hint="eastAsia" w:ascii="仿宋" w:hAnsi="仿宋" w:eastAsia="仿宋"/>
                <w:highlight w:val="none"/>
              </w:rPr>
            </w:pPr>
            <w:r>
              <w:rPr>
                <w:rFonts w:hint="eastAsia" w:ascii="仿宋" w:hAnsi="仿宋" w:eastAsia="仿宋"/>
                <w:highlight w:val="none"/>
              </w:rPr>
              <w:t>（万元）</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实收资金</w:t>
            </w:r>
          </w:p>
          <w:p>
            <w:pPr>
              <w:jc w:val="center"/>
              <w:rPr>
                <w:rFonts w:hint="eastAsia" w:ascii="仿宋" w:hAnsi="仿宋" w:eastAsia="仿宋"/>
                <w:highlight w:val="none"/>
              </w:rPr>
            </w:pPr>
            <w:r>
              <w:rPr>
                <w:rFonts w:hint="eastAsia" w:ascii="仿宋" w:hAnsi="仿宋" w:eastAsia="仿宋"/>
                <w:highlight w:val="none"/>
              </w:rPr>
              <w:t>（万元）</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成立年月</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年生产能力</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员工总数（人）</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其中管理人员（人）</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邮编</w:t>
            </w:r>
          </w:p>
        </w:tc>
        <w:tc>
          <w:tcPr>
            <w:tcW w:w="1393" w:type="dxa"/>
            <w:vAlign w:val="center"/>
          </w:tcPr>
          <w:p>
            <w:pPr>
              <w:jc w:val="center"/>
              <w:rPr>
                <w:rFonts w:hint="eastAsia" w:ascii="仿宋" w:hAnsi="仿宋" w:eastAsia="仿宋"/>
                <w:highlight w:val="none"/>
              </w:rPr>
            </w:pPr>
          </w:p>
        </w:tc>
        <w:tc>
          <w:tcPr>
            <w:tcW w:w="1153" w:type="dxa"/>
            <w:vAlign w:val="center"/>
          </w:tcPr>
          <w:p>
            <w:pPr>
              <w:jc w:val="center"/>
              <w:rPr>
                <w:rFonts w:hint="eastAsia" w:ascii="仿宋" w:hAnsi="仿宋" w:eastAsia="仿宋"/>
                <w:highlight w:val="none"/>
              </w:rPr>
            </w:pPr>
            <w:r>
              <w:rPr>
                <w:rFonts w:hint="eastAsia" w:ascii="仿宋" w:hAnsi="仿宋" w:eastAsia="仿宋"/>
                <w:highlight w:val="none"/>
              </w:rPr>
              <w:t>企业电话</w:t>
            </w:r>
          </w:p>
        </w:tc>
        <w:tc>
          <w:tcPr>
            <w:tcW w:w="2410" w:type="dxa"/>
            <w:gridSpan w:val="3"/>
            <w:tcBorders>
              <w:right w:val="single" w:color="auto" w:sz="4" w:space="0"/>
            </w:tcBorders>
            <w:vAlign w:val="center"/>
          </w:tcPr>
          <w:p>
            <w:pPr>
              <w:jc w:val="center"/>
              <w:rPr>
                <w:rFonts w:hint="eastAsia" w:ascii="仿宋" w:hAnsi="仿宋" w:eastAsia="仿宋"/>
                <w:highlight w:val="none"/>
              </w:rPr>
            </w:pPr>
          </w:p>
        </w:tc>
        <w:tc>
          <w:tcPr>
            <w:tcW w:w="1183" w:type="dxa"/>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传真</w:t>
            </w:r>
          </w:p>
        </w:tc>
        <w:tc>
          <w:tcPr>
            <w:tcW w:w="1349" w:type="dxa"/>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主要人员</w:t>
            </w:r>
          </w:p>
        </w:tc>
        <w:tc>
          <w:tcPr>
            <w:tcW w:w="1393" w:type="dxa"/>
            <w:vAlign w:val="center"/>
          </w:tcPr>
          <w:p>
            <w:pPr>
              <w:jc w:val="center"/>
              <w:rPr>
                <w:rFonts w:hint="eastAsia" w:ascii="仿宋" w:hAnsi="仿宋" w:eastAsia="仿宋"/>
                <w:highlight w:val="none"/>
              </w:rPr>
            </w:pPr>
            <w:r>
              <w:rPr>
                <w:rFonts w:hint="eastAsia" w:ascii="仿宋" w:hAnsi="仿宋" w:eastAsia="仿宋"/>
                <w:highlight w:val="none"/>
              </w:rPr>
              <w:t>姓名</w:t>
            </w:r>
          </w:p>
        </w:tc>
        <w:tc>
          <w:tcPr>
            <w:tcW w:w="1498" w:type="dxa"/>
            <w:gridSpan w:val="2"/>
            <w:tcBorders>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办公电话</w:t>
            </w:r>
          </w:p>
        </w:tc>
        <w:tc>
          <w:tcPr>
            <w:tcW w:w="2065" w:type="dxa"/>
            <w:gridSpan w:val="2"/>
            <w:tcBorders>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手机</w:t>
            </w: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r>
              <w:rPr>
                <w:rFonts w:hint="eastAsia" w:ascii="仿宋" w:hAnsi="仿宋" w:eastAsia="仿宋"/>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法定代表人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技术负责人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业务联系人</w:t>
            </w:r>
          </w:p>
        </w:tc>
        <w:tc>
          <w:tcPr>
            <w:tcW w:w="1393" w:type="dxa"/>
            <w:vAlign w:val="center"/>
          </w:tcPr>
          <w:p>
            <w:pPr>
              <w:jc w:val="center"/>
              <w:rPr>
                <w:rFonts w:hint="eastAsia" w:ascii="仿宋" w:hAnsi="仿宋" w:eastAsia="仿宋"/>
                <w:highlight w:val="none"/>
              </w:rPr>
            </w:pPr>
          </w:p>
        </w:tc>
        <w:tc>
          <w:tcPr>
            <w:tcW w:w="1498" w:type="dxa"/>
            <w:gridSpan w:val="2"/>
            <w:tcBorders>
              <w:right w:val="single" w:color="auto" w:sz="4" w:space="0"/>
            </w:tcBorders>
            <w:vAlign w:val="center"/>
          </w:tcPr>
          <w:p>
            <w:pPr>
              <w:jc w:val="center"/>
              <w:rPr>
                <w:rFonts w:hint="eastAsia" w:ascii="仿宋" w:hAnsi="仿宋" w:eastAsia="仿宋"/>
                <w:highlight w:val="none"/>
              </w:rPr>
            </w:pPr>
          </w:p>
        </w:tc>
        <w:tc>
          <w:tcPr>
            <w:tcW w:w="2065" w:type="dxa"/>
            <w:gridSpan w:val="2"/>
            <w:tcBorders>
              <w:right w:val="single" w:color="auto" w:sz="4" w:space="0"/>
            </w:tcBorders>
            <w:vAlign w:val="center"/>
          </w:tcPr>
          <w:p>
            <w:pPr>
              <w:jc w:val="center"/>
              <w:rPr>
                <w:rFonts w:hint="eastAsia" w:ascii="仿宋" w:hAnsi="仿宋" w:eastAsia="仿宋"/>
                <w:highlight w:val="none"/>
              </w:rPr>
            </w:pPr>
          </w:p>
        </w:tc>
        <w:tc>
          <w:tcPr>
            <w:tcW w:w="2532" w:type="dxa"/>
            <w:gridSpan w:val="2"/>
            <w:tcBorders>
              <w:left w:val="single" w:color="auto" w:sz="4" w:space="0"/>
              <w:righ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企业资质等级</w:t>
            </w:r>
          </w:p>
        </w:tc>
        <w:tc>
          <w:tcPr>
            <w:tcW w:w="7488" w:type="dxa"/>
            <w:gridSpan w:val="7"/>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主项资质名称及等级：</w:t>
            </w:r>
          </w:p>
          <w:p>
            <w:pPr>
              <w:rPr>
                <w:rFonts w:hint="eastAsia" w:ascii="仿宋" w:hAnsi="仿宋" w:eastAsia="仿宋"/>
                <w:highlight w:val="none"/>
              </w:rPr>
            </w:pPr>
            <w:r>
              <w:rPr>
                <w:rFonts w:hint="eastAsia" w:ascii="仿宋" w:hAnsi="仿宋" w:eastAsia="仿宋"/>
                <w:highlight w:val="none"/>
              </w:rPr>
              <w:t>专业承包资质名称及等级：</w:t>
            </w:r>
          </w:p>
          <w:p>
            <w:pPr>
              <w:rPr>
                <w:rFonts w:hint="eastAsia" w:ascii="仿宋" w:hAnsi="仿宋" w:eastAsia="仿宋"/>
                <w:highlight w:val="none"/>
              </w:rPr>
            </w:pPr>
            <w:r>
              <w:rPr>
                <w:rFonts w:hint="eastAsia" w:ascii="仿宋" w:hAnsi="仿宋" w:eastAsia="仿宋"/>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主要服务范围</w:t>
            </w:r>
          </w:p>
        </w:tc>
        <w:tc>
          <w:tcPr>
            <w:tcW w:w="7488" w:type="dxa"/>
            <w:gridSpan w:val="7"/>
            <w:tcBorders>
              <w:right w:val="single" w:color="auto" w:sz="4" w:space="0"/>
            </w:tcBorders>
            <w:vAlign w:val="center"/>
          </w:tcPr>
          <w:p>
            <w:pPr>
              <w:jc w:val="center"/>
              <w:rPr>
                <w:rFonts w:hint="eastAsia" w:ascii="仿宋" w:hAnsi="仿宋" w:eastAsia="仿宋"/>
                <w:highlight w:val="none"/>
              </w:rPr>
            </w:pPr>
          </w:p>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近期主要项目或业绩</w:t>
            </w:r>
          </w:p>
        </w:tc>
        <w:tc>
          <w:tcPr>
            <w:tcW w:w="7488" w:type="dxa"/>
            <w:gridSpan w:val="7"/>
            <w:tcBorders>
              <w:right w:val="single" w:color="auto" w:sz="4" w:space="0"/>
            </w:tcBorders>
            <w:vAlign w:val="center"/>
          </w:tcPr>
          <w:p>
            <w:pPr>
              <w:jc w:val="center"/>
              <w:rPr>
                <w:rFonts w:hint="eastAsia" w:ascii="仿宋" w:hAnsi="仿宋" w:eastAsia="仿宋"/>
                <w:highlight w:val="none"/>
              </w:rPr>
            </w:pPr>
          </w:p>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基本开户账户号</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r>
              <w:rPr>
                <w:rFonts w:hint="eastAsia" w:ascii="仿宋" w:hAnsi="仿宋" w:eastAsia="仿宋"/>
                <w:highlight w:val="none"/>
              </w:rPr>
              <w:t>开户银行</w:t>
            </w:r>
          </w:p>
        </w:tc>
        <w:tc>
          <w:tcPr>
            <w:tcW w:w="2532" w:type="dxa"/>
            <w:gridSpan w:val="2"/>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类别</w:t>
            </w:r>
          </w:p>
        </w:tc>
        <w:tc>
          <w:tcPr>
            <w:tcW w:w="2546" w:type="dxa"/>
            <w:gridSpan w:val="2"/>
            <w:vAlign w:val="center"/>
          </w:tcPr>
          <w:p>
            <w:pPr>
              <w:jc w:val="center"/>
              <w:rPr>
                <w:rFonts w:hint="eastAsia" w:ascii="仿宋" w:hAnsi="仿宋" w:eastAsia="仿宋"/>
                <w:highlight w:val="none"/>
              </w:rPr>
            </w:pPr>
            <w:r>
              <w:rPr>
                <w:rFonts w:hint="eastAsia" w:ascii="仿宋" w:hAnsi="仿宋" w:eastAsia="仿宋"/>
                <w:highlight w:val="none"/>
              </w:rPr>
              <w:t>证书号</w:t>
            </w:r>
          </w:p>
        </w:tc>
        <w:tc>
          <w:tcPr>
            <w:tcW w:w="2410" w:type="dxa"/>
            <w:gridSpan w:val="3"/>
            <w:vAlign w:val="center"/>
          </w:tcPr>
          <w:p>
            <w:pPr>
              <w:jc w:val="center"/>
              <w:rPr>
                <w:rFonts w:hint="eastAsia" w:ascii="仿宋" w:hAnsi="仿宋" w:eastAsia="仿宋"/>
                <w:highlight w:val="none"/>
              </w:rPr>
            </w:pPr>
            <w:r>
              <w:rPr>
                <w:rFonts w:hint="eastAsia" w:ascii="仿宋" w:hAnsi="仿宋" w:eastAsia="仿宋"/>
                <w:highlight w:val="none"/>
              </w:rPr>
              <w:t>发证机关</w:t>
            </w:r>
          </w:p>
        </w:tc>
        <w:tc>
          <w:tcPr>
            <w:tcW w:w="1183" w:type="dxa"/>
            <w:vAlign w:val="center"/>
          </w:tcPr>
          <w:p>
            <w:pPr>
              <w:jc w:val="center"/>
              <w:rPr>
                <w:rFonts w:hint="eastAsia" w:ascii="仿宋" w:hAnsi="仿宋" w:eastAsia="仿宋"/>
                <w:highlight w:val="none"/>
              </w:rPr>
            </w:pPr>
            <w:r>
              <w:rPr>
                <w:rFonts w:hint="eastAsia" w:ascii="仿宋" w:hAnsi="仿宋" w:eastAsia="仿宋"/>
                <w:highlight w:val="none"/>
              </w:rPr>
              <w:t>发证时间</w:t>
            </w:r>
          </w:p>
        </w:tc>
        <w:tc>
          <w:tcPr>
            <w:tcW w:w="1349" w:type="dxa"/>
            <w:vAlign w:val="center"/>
          </w:tcPr>
          <w:p>
            <w:pPr>
              <w:jc w:val="center"/>
              <w:rPr>
                <w:rFonts w:hint="eastAsia" w:ascii="仿宋" w:hAnsi="仿宋" w:eastAsia="仿宋"/>
                <w:highlight w:val="none"/>
              </w:rPr>
            </w:pPr>
            <w:r>
              <w:rPr>
                <w:rFonts w:hint="eastAsia" w:ascii="仿宋" w:hAnsi="仿宋" w:eastAsia="仿宋"/>
                <w:highlight w:val="none"/>
              </w:rPr>
              <w:t>有效期截至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营业执照号</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组织机构代码证</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Align w:val="center"/>
          </w:tcPr>
          <w:p>
            <w:pPr>
              <w:jc w:val="center"/>
              <w:rPr>
                <w:rFonts w:hint="eastAsia" w:ascii="仿宋" w:hAnsi="仿宋" w:eastAsia="仿宋"/>
                <w:highlight w:val="none"/>
              </w:rPr>
            </w:pPr>
            <w:r>
              <w:rPr>
                <w:rFonts w:hint="eastAsia" w:ascii="仿宋" w:hAnsi="仿宋" w:eastAsia="仿宋"/>
                <w:highlight w:val="none"/>
              </w:rPr>
              <w:t>税务登记证</w:t>
            </w:r>
          </w:p>
        </w:tc>
        <w:tc>
          <w:tcPr>
            <w:tcW w:w="2546" w:type="dxa"/>
            <w:gridSpan w:val="2"/>
            <w:vAlign w:val="center"/>
          </w:tcPr>
          <w:p>
            <w:pPr>
              <w:jc w:val="center"/>
              <w:rPr>
                <w:rFonts w:hint="eastAsia" w:ascii="仿宋" w:hAnsi="仿宋" w:eastAsia="仿宋"/>
                <w:highlight w:val="none"/>
              </w:rPr>
            </w:pP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主项资质证书</w:t>
            </w:r>
          </w:p>
        </w:tc>
        <w:tc>
          <w:tcPr>
            <w:tcW w:w="2546" w:type="dxa"/>
            <w:gridSpan w:val="2"/>
            <w:vAlign w:val="center"/>
          </w:tcPr>
          <w:p>
            <w:pPr>
              <w:rPr>
                <w:rFonts w:hint="eastAsia" w:ascii="仿宋" w:hAnsi="仿宋" w:eastAsia="仿宋"/>
                <w:highlight w:val="none"/>
              </w:rPr>
            </w:pPr>
            <w:r>
              <w:rPr>
                <w:rFonts w:hint="eastAsia" w:ascii="仿宋" w:hAnsi="仿宋" w:eastAsia="仿宋"/>
                <w:highlight w:val="none"/>
              </w:rPr>
              <w:t>1：</w:t>
            </w: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vAlign w:val="center"/>
          </w:tcPr>
          <w:p>
            <w:pPr>
              <w:rPr>
                <w:rFonts w:hint="eastAsia" w:ascii="仿宋" w:hAnsi="仿宋" w:eastAsia="仿宋"/>
                <w:highlight w:val="none"/>
              </w:rPr>
            </w:pPr>
            <w:r>
              <w:rPr>
                <w:rFonts w:hint="eastAsia" w:ascii="仿宋" w:hAnsi="仿宋" w:eastAsia="仿宋"/>
                <w:highlight w:val="none"/>
              </w:rPr>
              <w:t>2：</w:t>
            </w:r>
          </w:p>
        </w:tc>
        <w:tc>
          <w:tcPr>
            <w:tcW w:w="2410" w:type="dxa"/>
            <w:gridSpan w:val="3"/>
            <w:vAlign w:val="center"/>
          </w:tcPr>
          <w:p>
            <w:pPr>
              <w:jc w:val="center"/>
              <w:rPr>
                <w:rFonts w:hint="eastAsia" w:ascii="仿宋" w:hAnsi="仿宋" w:eastAsia="仿宋"/>
                <w:highlight w:val="none"/>
              </w:rPr>
            </w:pPr>
          </w:p>
        </w:tc>
        <w:tc>
          <w:tcPr>
            <w:tcW w:w="1183" w:type="dxa"/>
            <w:vAlign w:val="center"/>
          </w:tcPr>
          <w:p>
            <w:pPr>
              <w:jc w:val="center"/>
              <w:rPr>
                <w:rFonts w:hint="eastAsia" w:ascii="仿宋" w:hAnsi="仿宋" w:eastAsia="仿宋"/>
                <w:highlight w:val="none"/>
              </w:rPr>
            </w:pPr>
          </w:p>
        </w:tc>
        <w:tc>
          <w:tcPr>
            <w:tcW w:w="1349" w:type="dxa"/>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管理体系认证证书</w:t>
            </w: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1：</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2：</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jc w:val="left"/>
              <w:rPr>
                <w:rFonts w:hint="eastAsia" w:ascii="仿宋" w:hAnsi="仿宋" w:eastAsia="仿宋"/>
                <w:highlight w:val="none"/>
              </w:rPr>
            </w:pPr>
            <w:r>
              <w:rPr>
                <w:rFonts w:hint="eastAsia" w:ascii="仿宋" w:hAnsi="仿宋" w:eastAsia="仿宋"/>
                <w:highlight w:val="none"/>
              </w:rPr>
              <w:t>3：</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restart"/>
            <w:vAlign w:val="center"/>
          </w:tcPr>
          <w:p>
            <w:pPr>
              <w:jc w:val="center"/>
              <w:rPr>
                <w:rFonts w:hint="eastAsia" w:ascii="仿宋" w:hAnsi="仿宋" w:eastAsia="仿宋"/>
                <w:highlight w:val="none"/>
              </w:rPr>
            </w:pPr>
            <w:r>
              <w:rPr>
                <w:rFonts w:hint="eastAsia" w:ascii="仿宋" w:hAnsi="仿宋" w:eastAsia="仿宋"/>
                <w:highlight w:val="none"/>
              </w:rPr>
              <w:t>信用证书</w:t>
            </w:r>
          </w:p>
        </w:tc>
        <w:tc>
          <w:tcPr>
            <w:tcW w:w="2546" w:type="dxa"/>
            <w:gridSpan w:val="2"/>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1：</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17" w:type="dxa"/>
            <w:vMerge w:val="continue"/>
            <w:vAlign w:val="center"/>
          </w:tcPr>
          <w:p>
            <w:pPr>
              <w:jc w:val="center"/>
              <w:rPr>
                <w:rFonts w:hint="eastAsia" w:ascii="仿宋" w:hAnsi="仿宋" w:eastAsia="仿宋"/>
                <w:highlight w:val="none"/>
              </w:rPr>
            </w:pPr>
          </w:p>
        </w:tc>
        <w:tc>
          <w:tcPr>
            <w:tcW w:w="2546" w:type="dxa"/>
            <w:gridSpan w:val="2"/>
            <w:tcBorders>
              <w:right w:val="single" w:color="auto" w:sz="4" w:space="0"/>
            </w:tcBorders>
            <w:vAlign w:val="center"/>
          </w:tcPr>
          <w:p>
            <w:pPr>
              <w:rPr>
                <w:rFonts w:hint="eastAsia" w:ascii="仿宋" w:hAnsi="仿宋" w:eastAsia="仿宋"/>
                <w:highlight w:val="none"/>
              </w:rPr>
            </w:pPr>
            <w:r>
              <w:rPr>
                <w:rFonts w:hint="eastAsia" w:ascii="仿宋" w:hAnsi="仿宋" w:eastAsia="仿宋"/>
                <w:highlight w:val="none"/>
              </w:rPr>
              <w:t>2：</w:t>
            </w:r>
          </w:p>
        </w:tc>
        <w:tc>
          <w:tcPr>
            <w:tcW w:w="2410" w:type="dxa"/>
            <w:gridSpan w:val="3"/>
            <w:tcBorders>
              <w:left w:val="single" w:color="auto" w:sz="4" w:space="0"/>
            </w:tcBorders>
            <w:vAlign w:val="center"/>
          </w:tcPr>
          <w:p>
            <w:pPr>
              <w:jc w:val="center"/>
              <w:rPr>
                <w:rFonts w:hint="eastAsia" w:ascii="仿宋" w:hAnsi="仿宋" w:eastAsia="仿宋"/>
                <w:highlight w:val="none"/>
              </w:rPr>
            </w:pPr>
          </w:p>
        </w:tc>
        <w:tc>
          <w:tcPr>
            <w:tcW w:w="1183" w:type="dxa"/>
            <w:tcBorders>
              <w:right w:val="single" w:color="auto" w:sz="4" w:space="0"/>
            </w:tcBorders>
            <w:vAlign w:val="center"/>
          </w:tcPr>
          <w:p>
            <w:pPr>
              <w:jc w:val="center"/>
              <w:rPr>
                <w:rFonts w:hint="eastAsia" w:ascii="仿宋" w:hAnsi="仿宋" w:eastAsia="仿宋"/>
                <w:highlight w:val="none"/>
              </w:rPr>
            </w:pPr>
          </w:p>
        </w:tc>
        <w:tc>
          <w:tcPr>
            <w:tcW w:w="1349" w:type="dxa"/>
            <w:tcBorders>
              <w:left w:val="single" w:color="auto" w:sz="4" w:space="0"/>
            </w:tcBorders>
            <w:vAlign w:val="center"/>
          </w:tcPr>
          <w:p>
            <w:pPr>
              <w:jc w:val="center"/>
              <w:rPr>
                <w:rFonts w:hint="eastAsia" w:ascii="仿宋" w:hAnsi="仿宋" w:eastAsia="仿宋"/>
                <w:highlight w:val="none"/>
              </w:rPr>
            </w:pPr>
          </w:p>
        </w:tc>
      </w:tr>
    </w:tbl>
    <w:p>
      <w:pPr>
        <w:ind w:right="210"/>
        <w:jc w:val="left"/>
        <w:rPr>
          <w:rFonts w:hint="eastAsia" w:ascii="仿宋" w:hAnsi="仿宋" w:eastAsia="仿宋"/>
          <w:highlight w:val="none"/>
        </w:rPr>
      </w:pPr>
    </w:p>
    <w:p>
      <w:pPr>
        <w:ind w:right="210"/>
        <w:jc w:val="left"/>
        <w:rPr>
          <w:rFonts w:hint="eastAsia" w:ascii="仿宋" w:hAnsi="仿宋" w:eastAsia="仿宋"/>
          <w:highlight w:val="none"/>
        </w:rPr>
      </w:pPr>
    </w:p>
    <w:p>
      <w:pPr>
        <w:ind w:right="210"/>
        <w:jc w:val="left"/>
        <w:rPr>
          <w:rFonts w:hint="eastAsia" w:ascii="仿宋" w:hAnsi="仿宋" w:eastAsia="仿宋"/>
          <w:highlight w:val="none"/>
        </w:rPr>
      </w:pPr>
    </w:p>
    <w:p>
      <w:pPr>
        <w:pStyle w:val="5"/>
        <w:numPr>
          <w:ilvl w:val="0"/>
          <w:numId w:val="18"/>
        </w:numPr>
        <w:rPr>
          <w:rFonts w:hint="eastAsia"/>
          <w:highlight w:val="none"/>
        </w:rPr>
      </w:pPr>
      <w:bookmarkStart w:id="201" w:name="_Toc249329170"/>
      <w:bookmarkStart w:id="202" w:name="_Toc249321905"/>
      <w:bookmarkStart w:id="203" w:name="_Toc77590253"/>
      <w:bookmarkStart w:id="204" w:name="_Toc837"/>
      <w:bookmarkStart w:id="205" w:name="_Toc249266245"/>
      <w:bookmarkStart w:id="206" w:name="_Toc111542003"/>
      <w:r>
        <w:rPr>
          <w:rFonts w:hint="eastAsia"/>
          <w:highlight w:val="none"/>
        </w:rPr>
        <w:t>竞谈响应人资格审查文件</w:t>
      </w:r>
      <w:bookmarkEnd w:id="201"/>
      <w:bookmarkEnd w:id="202"/>
      <w:bookmarkEnd w:id="203"/>
      <w:bookmarkEnd w:id="204"/>
      <w:bookmarkEnd w:id="205"/>
      <w:bookmarkEnd w:id="206"/>
    </w:p>
    <w:p>
      <w:pPr>
        <w:numPr>
          <w:ilvl w:val="0"/>
          <w:numId w:val="19"/>
        </w:numPr>
        <w:jc w:val="left"/>
        <w:outlineLvl w:val="1"/>
        <w:rPr>
          <w:rFonts w:hint="eastAsia" w:ascii="仿宋" w:hAnsi="仿宋" w:eastAsia="仿宋"/>
          <w:sz w:val="24"/>
          <w:highlight w:val="none"/>
        </w:rPr>
      </w:pPr>
      <w:r>
        <w:rPr>
          <w:rFonts w:hint="eastAsia" w:ascii="仿宋" w:hAnsi="仿宋" w:eastAsia="仿宋"/>
          <w:sz w:val="24"/>
          <w:highlight w:val="none"/>
        </w:rPr>
        <w:t>法定代表人资格证明书</w:t>
      </w:r>
    </w:p>
    <w:p>
      <w:pPr>
        <w:numPr>
          <w:ilvl w:val="0"/>
          <w:numId w:val="19"/>
        </w:numPr>
        <w:jc w:val="left"/>
        <w:outlineLvl w:val="1"/>
        <w:rPr>
          <w:rFonts w:hint="eastAsia" w:ascii="仿宋" w:hAnsi="仿宋" w:eastAsia="仿宋"/>
          <w:sz w:val="24"/>
          <w:highlight w:val="none"/>
        </w:rPr>
      </w:pPr>
      <w:r>
        <w:rPr>
          <w:rFonts w:hint="eastAsia" w:ascii="仿宋" w:hAnsi="仿宋" w:eastAsia="仿宋"/>
          <w:sz w:val="24"/>
          <w:highlight w:val="none"/>
        </w:rPr>
        <w:t>营业执照复印件（加盖公章）</w:t>
      </w:r>
    </w:p>
    <w:p>
      <w:pPr>
        <w:numPr>
          <w:ilvl w:val="0"/>
          <w:numId w:val="19"/>
        </w:numPr>
        <w:jc w:val="left"/>
        <w:outlineLvl w:val="1"/>
        <w:rPr>
          <w:rFonts w:hint="eastAsia" w:ascii="仿宋" w:hAnsi="仿宋" w:eastAsia="仿宋"/>
          <w:sz w:val="24"/>
          <w:highlight w:val="none"/>
        </w:rPr>
      </w:pPr>
      <w:r>
        <w:rPr>
          <w:rFonts w:hint="eastAsia" w:ascii="仿宋" w:hAnsi="仿宋" w:eastAsia="仿宋"/>
          <w:sz w:val="24"/>
          <w:highlight w:val="none"/>
        </w:rPr>
        <w:t>增值税一般纳税人资格证明</w:t>
      </w:r>
    </w:p>
    <w:p>
      <w:pPr>
        <w:numPr>
          <w:ilvl w:val="0"/>
          <w:numId w:val="19"/>
        </w:numPr>
        <w:jc w:val="left"/>
        <w:outlineLvl w:val="1"/>
        <w:rPr>
          <w:rFonts w:hint="eastAsia" w:ascii="仿宋" w:hAnsi="仿宋" w:eastAsia="仿宋"/>
          <w:sz w:val="24"/>
          <w:highlight w:val="none"/>
        </w:rPr>
      </w:pPr>
      <w:r>
        <w:rPr>
          <w:rFonts w:hint="eastAsia" w:ascii="仿宋" w:hAnsi="仿宋" w:eastAsia="仿宋"/>
          <w:sz w:val="24"/>
          <w:highlight w:val="none"/>
          <w:lang w:val="en-US" w:eastAsia="zh-CN"/>
        </w:rPr>
        <w:t>相关软件开发类资质证书</w:t>
      </w:r>
    </w:p>
    <w:p>
      <w:pPr>
        <w:numPr>
          <w:ilvl w:val="0"/>
          <w:numId w:val="19"/>
        </w:numPr>
        <w:jc w:val="left"/>
        <w:outlineLvl w:val="1"/>
        <w:rPr>
          <w:rFonts w:hint="eastAsia" w:ascii="仿宋" w:hAnsi="仿宋" w:eastAsia="仿宋"/>
          <w:sz w:val="24"/>
          <w:highlight w:val="none"/>
        </w:rPr>
      </w:pPr>
      <w:r>
        <w:rPr>
          <w:rFonts w:hint="eastAsia" w:ascii="仿宋" w:hAnsi="仿宋" w:eastAsia="仿宋"/>
          <w:sz w:val="24"/>
          <w:highlight w:val="none"/>
        </w:rPr>
        <w:t>竞谈响应人最近两年资产负债表、利润及利润分配表和现金流量表等会计报表（加盖公章）</w:t>
      </w:r>
    </w:p>
    <w:p>
      <w:pPr>
        <w:jc w:val="right"/>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rPr>
          <w:rFonts w:hint="eastAsia"/>
          <w:highlight w:val="none"/>
        </w:rPr>
      </w:pPr>
    </w:p>
    <w:p>
      <w:pPr>
        <w:jc w:val="right"/>
        <w:rPr>
          <w:rFonts w:hint="eastAsia" w:ascii="仿宋" w:hAnsi="仿宋" w:eastAsia="仿宋" w:cs="仿宋"/>
          <w:sz w:val="28"/>
          <w:szCs w:val="28"/>
          <w:highlight w:val="none"/>
        </w:rPr>
      </w:pPr>
    </w:p>
    <w:p>
      <w:pPr>
        <w:jc w:val="right"/>
        <w:rPr>
          <w:rFonts w:hint="eastAsia" w:ascii="仿宋" w:hAnsi="仿宋" w:eastAsia="仿宋" w:cs="仿宋"/>
          <w:sz w:val="28"/>
          <w:szCs w:val="28"/>
          <w:highlight w:val="none"/>
        </w:rPr>
      </w:pPr>
    </w:p>
    <w:p>
      <w:pPr>
        <w:rPr>
          <w:rFonts w:hint="eastAsia" w:ascii="仿宋" w:hAnsi="仿宋" w:eastAsia="仿宋" w:cs="仿宋"/>
          <w:highlight w:val="none"/>
        </w:rPr>
      </w:pPr>
    </w:p>
    <w:p>
      <w:pPr>
        <w:pStyle w:val="5"/>
        <w:numPr>
          <w:ilvl w:val="0"/>
          <w:numId w:val="18"/>
        </w:numPr>
        <w:rPr>
          <w:rFonts w:hint="eastAsia"/>
          <w:highlight w:val="none"/>
        </w:rPr>
      </w:pPr>
      <w:bookmarkStart w:id="207" w:name="_Toc58490820"/>
      <w:bookmarkStart w:id="208" w:name="_Toc433814135"/>
      <w:bookmarkStart w:id="209" w:name="_Toc337496474"/>
      <w:r>
        <w:rPr>
          <w:rFonts w:hint="eastAsia"/>
          <w:highlight w:val="none"/>
        </w:rPr>
        <w:t>项目管理机构</w:t>
      </w:r>
    </w:p>
    <w:p>
      <w:pPr>
        <w:rPr>
          <w:highlight w:val="none"/>
        </w:rPr>
      </w:pPr>
    </w:p>
    <w:p>
      <w:pPr>
        <w:ind w:firstLine="284"/>
        <w:jc w:val="center"/>
        <w:outlineLvl w:val="1"/>
        <w:rPr>
          <w:b/>
          <w:highlight w:val="none"/>
        </w:rPr>
      </w:pPr>
      <w:bookmarkStart w:id="210" w:name="_Toc9638"/>
      <w:r>
        <w:rPr>
          <w:b/>
          <w:highlight w:val="none"/>
        </w:rPr>
        <w:t>（一）项目管理机构组成表</w:t>
      </w:r>
      <w:bookmarkEnd w:id="210"/>
    </w:p>
    <w:tbl>
      <w:tblPr>
        <w:tblStyle w:val="39"/>
        <w:tblW w:w="89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1203"/>
        <w:gridCol w:w="1705"/>
        <w:gridCol w:w="1240"/>
        <w:gridCol w:w="1415"/>
        <w:gridCol w:w="2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10"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203"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年龄</w:t>
            </w:r>
          </w:p>
        </w:tc>
        <w:tc>
          <w:tcPr>
            <w:tcW w:w="1705"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专业/ 学历</w:t>
            </w:r>
          </w:p>
        </w:tc>
        <w:tc>
          <w:tcPr>
            <w:tcW w:w="1240"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职称</w:t>
            </w:r>
          </w:p>
        </w:tc>
        <w:tc>
          <w:tcPr>
            <w:tcW w:w="1415"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工作年限</w:t>
            </w:r>
          </w:p>
        </w:tc>
        <w:tc>
          <w:tcPr>
            <w:tcW w:w="2245"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拟任岗位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10" w:type="dxa"/>
            <w:vAlign w:val="center"/>
          </w:tcPr>
          <w:p>
            <w:pPr>
              <w:jc w:val="center"/>
              <w:rPr>
                <w:rFonts w:hint="eastAsia" w:ascii="仿宋" w:hAnsi="仿宋" w:eastAsia="仿宋" w:cs="仿宋"/>
                <w:szCs w:val="21"/>
                <w:highlight w:val="none"/>
              </w:rPr>
            </w:pPr>
          </w:p>
        </w:tc>
        <w:tc>
          <w:tcPr>
            <w:tcW w:w="1203" w:type="dxa"/>
          </w:tcPr>
          <w:p>
            <w:pPr>
              <w:jc w:val="center"/>
              <w:rPr>
                <w:rFonts w:hint="eastAsia" w:ascii="仿宋" w:hAnsi="仿宋" w:eastAsia="仿宋" w:cs="仿宋"/>
                <w:szCs w:val="21"/>
                <w:highlight w:val="none"/>
              </w:rPr>
            </w:pPr>
          </w:p>
        </w:tc>
        <w:tc>
          <w:tcPr>
            <w:tcW w:w="1705" w:type="dxa"/>
          </w:tcPr>
          <w:p>
            <w:pPr>
              <w:jc w:val="center"/>
              <w:rPr>
                <w:rFonts w:hint="eastAsia" w:ascii="仿宋" w:hAnsi="仿宋" w:eastAsia="仿宋" w:cs="仿宋"/>
                <w:szCs w:val="21"/>
                <w:highlight w:val="none"/>
              </w:rPr>
            </w:pPr>
          </w:p>
        </w:tc>
        <w:tc>
          <w:tcPr>
            <w:tcW w:w="1240" w:type="dxa"/>
          </w:tcPr>
          <w:p>
            <w:pPr>
              <w:jc w:val="center"/>
              <w:rPr>
                <w:rFonts w:hint="eastAsia" w:ascii="仿宋" w:hAnsi="仿宋" w:eastAsia="仿宋" w:cs="仿宋"/>
                <w:szCs w:val="21"/>
                <w:highlight w:val="none"/>
              </w:rPr>
            </w:pPr>
          </w:p>
        </w:tc>
        <w:tc>
          <w:tcPr>
            <w:tcW w:w="1415" w:type="dxa"/>
          </w:tcPr>
          <w:p>
            <w:pPr>
              <w:jc w:val="center"/>
              <w:rPr>
                <w:rFonts w:hint="eastAsia" w:ascii="仿宋" w:hAnsi="仿宋" w:eastAsia="仿宋" w:cs="仿宋"/>
                <w:szCs w:val="21"/>
                <w:highlight w:val="none"/>
              </w:rPr>
            </w:pPr>
          </w:p>
        </w:tc>
        <w:tc>
          <w:tcPr>
            <w:tcW w:w="2245" w:type="dxa"/>
          </w:tcPr>
          <w:p>
            <w:pPr>
              <w:jc w:val="center"/>
              <w:rPr>
                <w:rFonts w:hint="eastAsia" w:ascii="仿宋" w:hAnsi="仿宋" w:eastAsia="仿宋" w:cs="仿宋"/>
                <w:szCs w:val="21"/>
                <w:highlight w:val="none"/>
              </w:rPr>
            </w:pPr>
          </w:p>
        </w:tc>
      </w:tr>
    </w:tbl>
    <w:p>
      <w:pPr>
        <w:rPr>
          <w:highlight w:val="none"/>
        </w:rPr>
      </w:pPr>
    </w:p>
    <w:p>
      <w:pPr>
        <w:spacing w:line="360" w:lineRule="auto"/>
        <w:ind w:firstLine="3967" w:firstLineChars="1653"/>
        <w:rPr>
          <w:rFonts w:hint="eastAsia" w:ascii="仿宋" w:hAnsi="仿宋" w:eastAsia="仿宋"/>
          <w:sz w:val="24"/>
          <w:szCs w:val="24"/>
          <w:highlight w:val="none"/>
        </w:rPr>
      </w:pPr>
    </w:p>
    <w:p>
      <w:pPr>
        <w:spacing w:line="360" w:lineRule="auto"/>
        <w:ind w:firstLine="3967" w:firstLineChars="1653"/>
        <w:rPr>
          <w:rFonts w:hint="eastAsia" w:ascii="仿宋" w:hAnsi="仿宋" w:eastAsia="仿宋"/>
          <w:sz w:val="24"/>
          <w:szCs w:val="24"/>
          <w:highlight w:val="none"/>
        </w:rPr>
      </w:pP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响 应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（盖单位章）</w:t>
      </w: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法定代表人或其委托代理人：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w:t>
      </w:r>
    </w:p>
    <w:p>
      <w:pPr>
        <w:tabs>
          <w:tab w:val="left" w:pos="945"/>
          <w:tab w:val="right" w:leader="dot" w:pos="8040"/>
        </w:tabs>
        <w:ind w:firstLine="3960" w:firstLineChars="1650"/>
        <w:rPr>
          <w:rFonts w:hint="eastAsia" w:ascii="仿宋" w:hAnsi="仿宋" w:eastAsia="仿宋"/>
          <w:sz w:val="24"/>
          <w:szCs w:val="24"/>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pStyle w:val="2"/>
        <w:numPr>
          <w:ilvl w:val="0"/>
          <w:numId w:val="0"/>
        </w:numPr>
        <w:rPr>
          <w:rFonts w:hint="eastAsia" w:ascii="仿宋" w:hAnsi="仿宋" w:eastAsia="仿宋"/>
          <w:sz w:val="24"/>
          <w:szCs w:val="24"/>
          <w:highlight w:val="none"/>
        </w:rPr>
      </w:pPr>
    </w:p>
    <w:p>
      <w:pPr>
        <w:rPr>
          <w:rFonts w:hint="eastAsia"/>
          <w:highlight w:val="none"/>
        </w:rPr>
      </w:pPr>
    </w:p>
    <w:p>
      <w:pPr>
        <w:pStyle w:val="5"/>
        <w:numPr>
          <w:ilvl w:val="-1"/>
          <w:numId w:val="0"/>
        </w:numPr>
        <w:ind w:left="0"/>
        <w:rPr>
          <w:rFonts w:hint="eastAsia"/>
          <w:highlight w:val="none"/>
        </w:rPr>
      </w:pPr>
    </w:p>
    <w:p>
      <w:pPr>
        <w:pStyle w:val="5"/>
        <w:numPr>
          <w:ilvl w:val="0"/>
          <w:numId w:val="18"/>
        </w:numPr>
        <w:rPr>
          <w:rFonts w:hint="eastAsia"/>
          <w:highlight w:val="none"/>
        </w:rPr>
      </w:pPr>
      <w:r>
        <w:rPr>
          <w:rFonts w:hint="eastAsia"/>
          <w:highlight w:val="none"/>
        </w:rPr>
        <w:t>类似业绩</w:t>
      </w:r>
      <w:bookmarkEnd w:id="207"/>
      <w:bookmarkEnd w:id="208"/>
      <w:r>
        <w:rPr>
          <w:rFonts w:hint="eastAsia"/>
          <w:highlight w:val="none"/>
        </w:rPr>
        <w:t>证明</w:t>
      </w:r>
    </w:p>
    <w:p>
      <w:pPr>
        <w:rPr>
          <w:rFonts w:hint="eastAsia" w:ascii="仿宋" w:hAnsi="仿宋" w:eastAsia="仿宋" w:cs="仿宋_GB2312"/>
          <w:sz w:val="24"/>
          <w:highlight w:val="none"/>
        </w:rPr>
      </w:pP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500"/>
        <w:gridCol w:w="1495"/>
        <w:gridCol w:w="1355"/>
        <w:gridCol w:w="1526"/>
        <w:gridCol w:w="1725"/>
        <w:gridCol w:w="22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szCs w:val="21"/>
                <w:highlight w:val="none"/>
              </w:rPr>
            </w:pPr>
            <w:r>
              <w:rPr>
                <w:rFonts w:ascii="仿宋" w:hAnsi="仿宋" w:eastAsia="仿宋"/>
                <w:szCs w:val="21"/>
                <w:highlight w:val="none"/>
              </w:rPr>
              <w:t>序号</w:t>
            </w:r>
          </w:p>
        </w:tc>
        <w:tc>
          <w:tcPr>
            <w:tcW w:w="845" w:type="pct"/>
            <w:vAlign w:val="center"/>
          </w:tcPr>
          <w:p>
            <w:pPr>
              <w:spacing w:before="93" w:after="93"/>
              <w:jc w:val="center"/>
              <w:rPr>
                <w:rFonts w:hint="eastAsia" w:ascii="仿宋" w:hAnsi="仿宋" w:eastAsia="仿宋"/>
                <w:szCs w:val="21"/>
                <w:highlight w:val="none"/>
              </w:rPr>
            </w:pPr>
            <w:r>
              <w:rPr>
                <w:rFonts w:hint="eastAsia" w:ascii="仿宋" w:hAnsi="仿宋" w:eastAsia="仿宋"/>
                <w:szCs w:val="21"/>
                <w:highlight w:val="none"/>
              </w:rPr>
              <w:t>项目名称</w:t>
            </w:r>
          </w:p>
        </w:tc>
        <w:tc>
          <w:tcPr>
            <w:tcW w:w="766" w:type="pct"/>
          </w:tcPr>
          <w:p>
            <w:pPr>
              <w:spacing w:before="93" w:after="93"/>
              <w:jc w:val="center"/>
              <w:rPr>
                <w:rFonts w:hint="eastAsia" w:ascii="仿宋" w:hAnsi="仿宋" w:eastAsia="仿宋"/>
                <w:szCs w:val="21"/>
                <w:highlight w:val="none"/>
              </w:rPr>
            </w:pPr>
            <w:r>
              <w:rPr>
                <w:rFonts w:hint="eastAsia" w:ascii="仿宋" w:hAnsi="仿宋" w:eastAsia="仿宋"/>
                <w:szCs w:val="21"/>
                <w:highlight w:val="none"/>
              </w:rPr>
              <w:t>合同金额（元）</w:t>
            </w:r>
          </w:p>
        </w:tc>
        <w:tc>
          <w:tcPr>
            <w:tcW w:w="863" w:type="pct"/>
            <w:vAlign w:val="center"/>
          </w:tcPr>
          <w:p>
            <w:pPr>
              <w:tabs>
                <w:tab w:val="left" w:pos="459"/>
              </w:tabs>
              <w:spacing w:before="93" w:after="93"/>
              <w:jc w:val="center"/>
              <w:rPr>
                <w:rFonts w:hint="eastAsia" w:ascii="仿宋" w:hAnsi="仿宋" w:eastAsia="仿宋"/>
                <w:szCs w:val="21"/>
                <w:highlight w:val="none"/>
              </w:rPr>
            </w:pPr>
            <w:r>
              <w:rPr>
                <w:rFonts w:hint="eastAsia" w:ascii="仿宋" w:hAnsi="仿宋" w:eastAsia="仿宋"/>
                <w:szCs w:val="21"/>
                <w:highlight w:val="none"/>
              </w:rPr>
              <w:t>合同签订日期</w:t>
            </w:r>
          </w:p>
        </w:tc>
        <w:tc>
          <w:tcPr>
            <w:tcW w:w="975" w:type="pct"/>
            <w:vAlign w:val="center"/>
          </w:tcPr>
          <w:p>
            <w:pPr>
              <w:spacing w:before="93" w:after="93"/>
              <w:jc w:val="center"/>
              <w:rPr>
                <w:rFonts w:hint="eastAsia" w:ascii="仿宋" w:hAnsi="仿宋" w:eastAsia="仿宋"/>
                <w:szCs w:val="21"/>
                <w:highlight w:val="none"/>
              </w:rPr>
            </w:pPr>
            <w:r>
              <w:rPr>
                <w:rFonts w:hint="eastAsia" w:ascii="仿宋" w:hAnsi="仿宋" w:eastAsia="仿宋"/>
                <w:szCs w:val="21"/>
                <w:highlight w:val="none"/>
              </w:rPr>
              <w:t>工作内容</w:t>
            </w:r>
          </w:p>
        </w:tc>
        <w:tc>
          <w:tcPr>
            <w:tcW w:w="1268" w:type="pct"/>
            <w:vAlign w:val="center"/>
          </w:tcPr>
          <w:p>
            <w:pPr>
              <w:spacing w:before="93" w:after="93"/>
              <w:jc w:val="center"/>
              <w:rPr>
                <w:rFonts w:hint="eastAsia" w:ascii="仿宋" w:hAnsi="仿宋" w:eastAsia="仿宋"/>
                <w:szCs w:val="21"/>
                <w:highlight w:val="none"/>
              </w:rPr>
            </w:pPr>
            <w:r>
              <w:rPr>
                <w:rFonts w:hint="eastAsia" w:ascii="仿宋" w:hAnsi="仿宋" w:eastAsia="仿宋"/>
                <w:szCs w:val="21"/>
                <w:highlight w:val="none"/>
              </w:rPr>
              <w:t>海拔高度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szCs w:val="21"/>
                <w:highlight w:val="none"/>
              </w:rPr>
            </w:pPr>
          </w:p>
        </w:tc>
        <w:tc>
          <w:tcPr>
            <w:tcW w:w="845" w:type="pct"/>
            <w:vAlign w:val="center"/>
          </w:tcPr>
          <w:p>
            <w:pPr>
              <w:spacing w:before="93" w:after="93"/>
              <w:jc w:val="center"/>
              <w:rPr>
                <w:rFonts w:hint="eastAsia" w:ascii="仿宋" w:hAnsi="仿宋" w:eastAsia="仿宋"/>
                <w:szCs w:val="21"/>
                <w:highlight w:val="none"/>
              </w:rPr>
            </w:pPr>
          </w:p>
        </w:tc>
        <w:tc>
          <w:tcPr>
            <w:tcW w:w="766" w:type="pct"/>
          </w:tcPr>
          <w:p>
            <w:pPr>
              <w:spacing w:before="93" w:after="93"/>
              <w:jc w:val="center"/>
              <w:rPr>
                <w:rFonts w:hint="eastAsia" w:ascii="仿宋" w:hAnsi="仿宋" w:eastAsia="仿宋"/>
                <w:szCs w:val="21"/>
                <w:highlight w:val="none"/>
              </w:rPr>
            </w:pPr>
          </w:p>
        </w:tc>
        <w:tc>
          <w:tcPr>
            <w:tcW w:w="863" w:type="pct"/>
            <w:vAlign w:val="center"/>
          </w:tcPr>
          <w:p>
            <w:pPr>
              <w:spacing w:before="93" w:after="93"/>
              <w:jc w:val="center"/>
              <w:rPr>
                <w:rFonts w:hint="eastAsia" w:ascii="仿宋" w:hAnsi="仿宋" w:eastAsia="仿宋"/>
                <w:szCs w:val="21"/>
                <w:highlight w:val="none"/>
              </w:rPr>
            </w:pPr>
          </w:p>
        </w:tc>
        <w:tc>
          <w:tcPr>
            <w:tcW w:w="975" w:type="pct"/>
            <w:vAlign w:val="center"/>
          </w:tcPr>
          <w:p>
            <w:pPr>
              <w:spacing w:before="93" w:after="93"/>
              <w:jc w:val="center"/>
              <w:rPr>
                <w:rFonts w:hint="eastAsia" w:ascii="仿宋" w:hAnsi="仿宋" w:eastAsia="仿宋"/>
                <w:szCs w:val="21"/>
                <w:highlight w:val="none"/>
              </w:rPr>
            </w:pPr>
          </w:p>
        </w:tc>
        <w:tc>
          <w:tcPr>
            <w:tcW w:w="1268" w:type="pct"/>
            <w:vAlign w:val="center"/>
          </w:tcPr>
          <w:p>
            <w:pPr>
              <w:spacing w:before="93" w:after="93"/>
              <w:jc w:val="center"/>
              <w:rPr>
                <w:rFonts w:hint="eastAsia" w:ascii="仿宋" w:hAnsi="仿宋" w:eastAsia="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szCs w:val="21"/>
                <w:highlight w:val="none"/>
              </w:rPr>
            </w:pPr>
          </w:p>
        </w:tc>
        <w:tc>
          <w:tcPr>
            <w:tcW w:w="845" w:type="pct"/>
            <w:vAlign w:val="center"/>
          </w:tcPr>
          <w:p>
            <w:pPr>
              <w:spacing w:before="93" w:after="93"/>
              <w:jc w:val="center"/>
              <w:rPr>
                <w:rFonts w:hint="eastAsia" w:ascii="仿宋" w:hAnsi="仿宋" w:eastAsia="仿宋"/>
                <w:szCs w:val="21"/>
                <w:highlight w:val="none"/>
              </w:rPr>
            </w:pPr>
          </w:p>
        </w:tc>
        <w:tc>
          <w:tcPr>
            <w:tcW w:w="766" w:type="pct"/>
          </w:tcPr>
          <w:p>
            <w:pPr>
              <w:spacing w:before="93" w:after="93"/>
              <w:jc w:val="center"/>
              <w:rPr>
                <w:rFonts w:hint="eastAsia" w:ascii="仿宋" w:hAnsi="仿宋" w:eastAsia="仿宋"/>
                <w:szCs w:val="21"/>
                <w:highlight w:val="none"/>
              </w:rPr>
            </w:pPr>
          </w:p>
        </w:tc>
        <w:tc>
          <w:tcPr>
            <w:tcW w:w="863" w:type="pct"/>
            <w:vAlign w:val="center"/>
          </w:tcPr>
          <w:p>
            <w:pPr>
              <w:spacing w:before="93" w:after="93"/>
              <w:jc w:val="center"/>
              <w:rPr>
                <w:rFonts w:hint="eastAsia" w:ascii="仿宋" w:hAnsi="仿宋" w:eastAsia="仿宋"/>
                <w:szCs w:val="21"/>
                <w:highlight w:val="none"/>
              </w:rPr>
            </w:pPr>
          </w:p>
        </w:tc>
        <w:tc>
          <w:tcPr>
            <w:tcW w:w="975" w:type="pct"/>
            <w:vAlign w:val="center"/>
          </w:tcPr>
          <w:p>
            <w:pPr>
              <w:spacing w:before="93" w:after="93"/>
              <w:jc w:val="center"/>
              <w:rPr>
                <w:rFonts w:hint="eastAsia" w:ascii="仿宋" w:hAnsi="仿宋" w:eastAsia="仿宋"/>
                <w:szCs w:val="21"/>
                <w:highlight w:val="none"/>
              </w:rPr>
            </w:pPr>
          </w:p>
        </w:tc>
        <w:tc>
          <w:tcPr>
            <w:tcW w:w="1268" w:type="pct"/>
            <w:vAlign w:val="center"/>
          </w:tcPr>
          <w:p>
            <w:pPr>
              <w:spacing w:before="93" w:after="93"/>
              <w:jc w:val="center"/>
              <w:rPr>
                <w:rFonts w:hint="eastAsia" w:ascii="仿宋" w:hAnsi="仿宋" w:eastAsia="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szCs w:val="21"/>
                <w:highlight w:val="none"/>
              </w:rPr>
            </w:pPr>
          </w:p>
        </w:tc>
        <w:tc>
          <w:tcPr>
            <w:tcW w:w="845" w:type="pct"/>
            <w:vAlign w:val="center"/>
          </w:tcPr>
          <w:p>
            <w:pPr>
              <w:spacing w:before="93" w:after="93"/>
              <w:jc w:val="center"/>
              <w:rPr>
                <w:rFonts w:hint="eastAsia" w:ascii="仿宋" w:hAnsi="仿宋" w:eastAsia="仿宋"/>
                <w:szCs w:val="21"/>
                <w:highlight w:val="none"/>
              </w:rPr>
            </w:pPr>
          </w:p>
        </w:tc>
        <w:tc>
          <w:tcPr>
            <w:tcW w:w="766" w:type="pct"/>
          </w:tcPr>
          <w:p>
            <w:pPr>
              <w:spacing w:before="93" w:after="93"/>
              <w:jc w:val="center"/>
              <w:rPr>
                <w:rFonts w:hint="eastAsia" w:ascii="仿宋" w:hAnsi="仿宋" w:eastAsia="仿宋"/>
                <w:szCs w:val="21"/>
                <w:highlight w:val="none"/>
              </w:rPr>
            </w:pPr>
          </w:p>
        </w:tc>
        <w:tc>
          <w:tcPr>
            <w:tcW w:w="863" w:type="pct"/>
            <w:vAlign w:val="center"/>
          </w:tcPr>
          <w:p>
            <w:pPr>
              <w:spacing w:before="93" w:after="93"/>
              <w:jc w:val="center"/>
              <w:rPr>
                <w:rFonts w:hint="eastAsia" w:ascii="仿宋" w:hAnsi="仿宋" w:eastAsia="仿宋"/>
                <w:szCs w:val="21"/>
                <w:highlight w:val="none"/>
              </w:rPr>
            </w:pPr>
          </w:p>
        </w:tc>
        <w:tc>
          <w:tcPr>
            <w:tcW w:w="975" w:type="pct"/>
            <w:vAlign w:val="center"/>
          </w:tcPr>
          <w:p>
            <w:pPr>
              <w:spacing w:before="93" w:after="93"/>
              <w:jc w:val="center"/>
              <w:rPr>
                <w:rFonts w:hint="eastAsia" w:ascii="仿宋" w:hAnsi="仿宋" w:eastAsia="仿宋"/>
                <w:szCs w:val="21"/>
                <w:highlight w:val="none"/>
              </w:rPr>
            </w:pPr>
          </w:p>
        </w:tc>
        <w:tc>
          <w:tcPr>
            <w:tcW w:w="1268" w:type="pct"/>
            <w:vAlign w:val="center"/>
          </w:tcPr>
          <w:p>
            <w:pPr>
              <w:spacing w:before="93" w:after="93"/>
              <w:jc w:val="center"/>
              <w:rPr>
                <w:rFonts w:hint="eastAsia" w:ascii="仿宋" w:hAnsi="仿宋" w:eastAsia="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283" w:type="pct"/>
            <w:vAlign w:val="center"/>
          </w:tcPr>
          <w:p>
            <w:pPr>
              <w:spacing w:before="93" w:after="93"/>
              <w:jc w:val="center"/>
              <w:rPr>
                <w:rFonts w:hint="eastAsia" w:ascii="仿宋" w:hAnsi="仿宋" w:eastAsia="仿宋"/>
                <w:szCs w:val="21"/>
                <w:highlight w:val="none"/>
              </w:rPr>
            </w:pPr>
          </w:p>
        </w:tc>
        <w:tc>
          <w:tcPr>
            <w:tcW w:w="845" w:type="pct"/>
            <w:vAlign w:val="center"/>
          </w:tcPr>
          <w:p>
            <w:pPr>
              <w:spacing w:before="93" w:after="93"/>
              <w:jc w:val="center"/>
              <w:rPr>
                <w:rFonts w:hint="eastAsia" w:ascii="仿宋" w:hAnsi="仿宋" w:eastAsia="仿宋"/>
                <w:szCs w:val="21"/>
                <w:highlight w:val="none"/>
              </w:rPr>
            </w:pPr>
          </w:p>
        </w:tc>
        <w:tc>
          <w:tcPr>
            <w:tcW w:w="766" w:type="pct"/>
          </w:tcPr>
          <w:p>
            <w:pPr>
              <w:spacing w:before="93" w:after="93"/>
              <w:jc w:val="center"/>
              <w:rPr>
                <w:rFonts w:hint="eastAsia" w:ascii="仿宋" w:hAnsi="仿宋" w:eastAsia="仿宋"/>
                <w:szCs w:val="21"/>
                <w:highlight w:val="none"/>
              </w:rPr>
            </w:pPr>
          </w:p>
        </w:tc>
        <w:tc>
          <w:tcPr>
            <w:tcW w:w="863" w:type="pct"/>
            <w:vAlign w:val="center"/>
          </w:tcPr>
          <w:p>
            <w:pPr>
              <w:spacing w:before="93" w:after="93"/>
              <w:jc w:val="center"/>
              <w:rPr>
                <w:rFonts w:hint="eastAsia" w:ascii="仿宋" w:hAnsi="仿宋" w:eastAsia="仿宋"/>
                <w:szCs w:val="21"/>
                <w:highlight w:val="none"/>
              </w:rPr>
            </w:pPr>
          </w:p>
        </w:tc>
        <w:tc>
          <w:tcPr>
            <w:tcW w:w="975" w:type="pct"/>
            <w:vAlign w:val="center"/>
          </w:tcPr>
          <w:p>
            <w:pPr>
              <w:spacing w:before="93" w:after="93"/>
              <w:jc w:val="center"/>
              <w:rPr>
                <w:rFonts w:hint="eastAsia" w:ascii="仿宋" w:hAnsi="仿宋" w:eastAsia="仿宋"/>
                <w:szCs w:val="21"/>
                <w:highlight w:val="none"/>
              </w:rPr>
            </w:pPr>
          </w:p>
        </w:tc>
        <w:tc>
          <w:tcPr>
            <w:tcW w:w="1268" w:type="pct"/>
            <w:vAlign w:val="center"/>
          </w:tcPr>
          <w:p>
            <w:pPr>
              <w:spacing w:before="93" w:after="93"/>
              <w:jc w:val="center"/>
              <w:rPr>
                <w:rFonts w:hint="eastAsia" w:ascii="仿宋" w:hAnsi="仿宋" w:eastAsia="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283" w:type="pct"/>
            <w:vAlign w:val="center"/>
          </w:tcPr>
          <w:p>
            <w:pPr>
              <w:spacing w:before="93" w:after="93"/>
              <w:jc w:val="center"/>
              <w:rPr>
                <w:rFonts w:hint="eastAsia" w:ascii="仿宋" w:hAnsi="仿宋" w:eastAsia="仿宋"/>
                <w:szCs w:val="21"/>
                <w:highlight w:val="none"/>
              </w:rPr>
            </w:pPr>
          </w:p>
        </w:tc>
        <w:tc>
          <w:tcPr>
            <w:tcW w:w="845" w:type="pct"/>
            <w:vAlign w:val="center"/>
          </w:tcPr>
          <w:p>
            <w:pPr>
              <w:spacing w:before="93" w:after="93"/>
              <w:jc w:val="center"/>
              <w:rPr>
                <w:rFonts w:hint="eastAsia" w:ascii="仿宋" w:hAnsi="仿宋" w:eastAsia="仿宋"/>
                <w:szCs w:val="21"/>
                <w:highlight w:val="none"/>
              </w:rPr>
            </w:pPr>
          </w:p>
        </w:tc>
        <w:tc>
          <w:tcPr>
            <w:tcW w:w="766" w:type="pct"/>
          </w:tcPr>
          <w:p>
            <w:pPr>
              <w:spacing w:before="93" w:after="93"/>
              <w:jc w:val="center"/>
              <w:rPr>
                <w:rFonts w:hint="eastAsia" w:ascii="仿宋" w:hAnsi="仿宋" w:eastAsia="仿宋"/>
                <w:szCs w:val="21"/>
                <w:highlight w:val="none"/>
              </w:rPr>
            </w:pPr>
          </w:p>
        </w:tc>
        <w:tc>
          <w:tcPr>
            <w:tcW w:w="863" w:type="pct"/>
            <w:vAlign w:val="center"/>
          </w:tcPr>
          <w:p>
            <w:pPr>
              <w:spacing w:before="93" w:after="93"/>
              <w:jc w:val="center"/>
              <w:rPr>
                <w:rFonts w:hint="eastAsia" w:ascii="仿宋" w:hAnsi="仿宋" w:eastAsia="仿宋"/>
                <w:szCs w:val="21"/>
                <w:highlight w:val="none"/>
              </w:rPr>
            </w:pPr>
          </w:p>
        </w:tc>
        <w:tc>
          <w:tcPr>
            <w:tcW w:w="975" w:type="pct"/>
            <w:vAlign w:val="center"/>
          </w:tcPr>
          <w:p>
            <w:pPr>
              <w:spacing w:before="93" w:after="93"/>
              <w:jc w:val="center"/>
              <w:rPr>
                <w:rFonts w:hint="eastAsia" w:ascii="仿宋" w:hAnsi="仿宋" w:eastAsia="仿宋"/>
                <w:szCs w:val="21"/>
                <w:highlight w:val="none"/>
              </w:rPr>
            </w:pPr>
          </w:p>
        </w:tc>
        <w:tc>
          <w:tcPr>
            <w:tcW w:w="1268" w:type="pct"/>
            <w:vAlign w:val="center"/>
          </w:tcPr>
          <w:p>
            <w:pPr>
              <w:spacing w:before="93" w:after="93"/>
              <w:jc w:val="center"/>
              <w:rPr>
                <w:rFonts w:hint="eastAsia" w:ascii="仿宋" w:hAnsi="仿宋" w:eastAsia="仿宋"/>
                <w:szCs w:val="21"/>
                <w:highlight w:val="none"/>
              </w:rPr>
            </w:pPr>
          </w:p>
        </w:tc>
      </w:tr>
    </w:tbl>
    <w:p>
      <w:pPr>
        <w:rPr>
          <w:rFonts w:hint="eastAsia" w:ascii="仿宋" w:hAnsi="仿宋" w:eastAsia="仿宋" w:cs="仿宋_GB2312"/>
          <w:sz w:val="24"/>
          <w:highlight w:val="none"/>
        </w:rPr>
      </w:pPr>
    </w:p>
    <w:p>
      <w:pPr>
        <w:rPr>
          <w:rFonts w:hint="eastAsia" w:ascii="仿宋" w:hAnsi="仿宋" w:eastAsia="仿宋"/>
          <w:highlight w:val="none"/>
        </w:rPr>
      </w:pPr>
    </w:p>
    <w:p>
      <w:pPr>
        <w:rPr>
          <w:rFonts w:hint="eastAsia" w:ascii="仿宋" w:hAnsi="仿宋" w:eastAsia="仿宋"/>
          <w:highlight w:val="none"/>
        </w:rPr>
      </w:pPr>
    </w:p>
    <w:p>
      <w:pPr>
        <w:ind w:firstLine="480"/>
        <w:rPr>
          <w:rFonts w:hint="eastAsia" w:ascii="仿宋" w:hAnsi="仿宋" w:eastAsia="仿宋"/>
          <w:highlight w:val="none"/>
        </w:rPr>
      </w:pPr>
      <w:r>
        <w:rPr>
          <w:rFonts w:ascii="仿宋" w:hAnsi="仿宋" w:eastAsia="仿宋"/>
          <w:highlight w:val="none"/>
        </w:rPr>
        <w:t xml:space="preserve">                             响应人名称：</w:t>
      </w:r>
      <w:r>
        <w:rPr>
          <w:rFonts w:ascii="仿宋" w:hAnsi="仿宋" w:eastAsia="仿宋"/>
          <w:highlight w:val="none"/>
          <w:u w:val="single"/>
        </w:rPr>
        <w:t xml:space="preserve">                     </w:t>
      </w:r>
      <w:r>
        <w:rPr>
          <w:rFonts w:ascii="仿宋" w:hAnsi="仿宋" w:eastAsia="仿宋"/>
          <w:highlight w:val="none"/>
        </w:rPr>
        <w:t>（公章）</w:t>
      </w:r>
    </w:p>
    <w:p>
      <w:pPr>
        <w:ind w:firstLine="480"/>
        <w:rPr>
          <w:rFonts w:hint="eastAsia" w:ascii="仿宋" w:hAnsi="仿宋" w:eastAsia="仿宋"/>
          <w:highlight w:val="none"/>
        </w:rPr>
      </w:pPr>
    </w:p>
    <w:p>
      <w:pPr>
        <w:ind w:firstLine="480"/>
        <w:rPr>
          <w:rFonts w:hint="eastAsia" w:ascii="仿宋" w:hAnsi="仿宋" w:eastAsia="仿宋"/>
          <w:highlight w:val="none"/>
        </w:rPr>
      </w:pPr>
      <w:r>
        <w:rPr>
          <w:rFonts w:ascii="仿宋" w:hAnsi="仿宋" w:eastAsia="仿宋"/>
          <w:highlight w:val="none"/>
        </w:rPr>
        <w:t xml:space="preserve">                             法定代表人或委托代理人：</w:t>
      </w:r>
      <w:r>
        <w:rPr>
          <w:rFonts w:ascii="仿宋" w:hAnsi="仿宋" w:eastAsia="仿宋"/>
          <w:highlight w:val="none"/>
          <w:u w:val="single"/>
        </w:rPr>
        <w:t xml:space="preserve">             </w:t>
      </w:r>
      <w:r>
        <w:rPr>
          <w:rFonts w:ascii="仿宋" w:hAnsi="仿宋" w:eastAsia="仿宋"/>
          <w:highlight w:val="none"/>
        </w:rPr>
        <w:t>（签字）</w:t>
      </w:r>
    </w:p>
    <w:p>
      <w:pPr>
        <w:ind w:firstLine="480"/>
        <w:rPr>
          <w:rFonts w:hint="eastAsia" w:ascii="仿宋" w:hAnsi="仿宋" w:eastAsia="仿宋"/>
          <w:highlight w:val="none"/>
        </w:rPr>
      </w:pPr>
    </w:p>
    <w:p>
      <w:pPr>
        <w:rPr>
          <w:rFonts w:hint="eastAsia" w:ascii="仿宋" w:hAnsi="仿宋" w:eastAsia="仿宋"/>
          <w:b/>
          <w:highlight w:val="none"/>
        </w:rPr>
      </w:pPr>
      <w:r>
        <w:rPr>
          <w:rFonts w:ascii="仿宋" w:hAnsi="仿宋" w:eastAsia="仿宋"/>
          <w:highlight w:val="none"/>
        </w:rPr>
        <w:t xml:space="preserve">                             </w:t>
      </w:r>
      <w:r>
        <w:rPr>
          <w:rFonts w:hint="eastAsia" w:ascii="仿宋" w:hAnsi="仿宋" w:eastAsia="仿宋"/>
          <w:highlight w:val="none"/>
        </w:rPr>
        <w:t xml:space="preserve"> </w:t>
      </w:r>
      <w:r>
        <w:rPr>
          <w:rFonts w:ascii="仿宋" w:hAnsi="仿宋" w:eastAsia="仿宋"/>
          <w:highlight w:val="none"/>
        </w:rPr>
        <w:t xml:space="preserve">   日 </w:t>
      </w:r>
      <w:r>
        <w:rPr>
          <w:rFonts w:hint="eastAsia" w:ascii="仿宋" w:hAnsi="仿宋" w:eastAsia="仿宋"/>
          <w:highlight w:val="none"/>
        </w:rPr>
        <w:t xml:space="preserve">  </w:t>
      </w:r>
      <w:r>
        <w:rPr>
          <w:rFonts w:ascii="仿宋" w:hAnsi="仿宋" w:eastAsia="仿宋"/>
          <w:highlight w:val="none"/>
        </w:rPr>
        <w:t>期</w:t>
      </w:r>
      <w:r>
        <w:rPr>
          <w:rFonts w:hint="eastAsia" w:ascii="仿宋" w:hAnsi="仿宋" w:eastAsia="仿宋"/>
          <w:highlight w:val="none"/>
        </w:rPr>
        <w:t>：</w:t>
      </w:r>
      <w:r>
        <w:rPr>
          <w:rFonts w:ascii="仿宋" w:hAnsi="仿宋" w:eastAsia="仿宋"/>
          <w:highlight w:val="none"/>
        </w:rPr>
        <w:t xml:space="preserve"> </w:t>
      </w:r>
      <w:r>
        <w:rPr>
          <w:rFonts w:ascii="仿宋" w:hAnsi="仿宋" w:eastAsia="仿宋"/>
          <w:highlight w:val="none"/>
          <w:u w:val="single"/>
        </w:rPr>
        <w:t xml:space="preserve">        </w:t>
      </w:r>
      <w:r>
        <w:rPr>
          <w:rFonts w:ascii="仿宋" w:hAnsi="仿宋" w:eastAsia="仿宋"/>
          <w:highlight w:val="none"/>
        </w:rPr>
        <w:t>年</w:t>
      </w:r>
      <w:r>
        <w:rPr>
          <w:rFonts w:ascii="仿宋" w:hAnsi="仿宋" w:eastAsia="仿宋"/>
          <w:highlight w:val="none"/>
          <w:u w:val="single"/>
        </w:rPr>
        <w:t xml:space="preserve">    </w:t>
      </w:r>
      <w:r>
        <w:rPr>
          <w:rFonts w:ascii="仿宋" w:hAnsi="仿宋" w:eastAsia="仿宋"/>
          <w:highlight w:val="none"/>
        </w:rPr>
        <w:t>月</w:t>
      </w:r>
      <w:r>
        <w:rPr>
          <w:rFonts w:ascii="仿宋" w:hAnsi="仿宋" w:eastAsia="仿宋"/>
          <w:highlight w:val="none"/>
          <w:u w:val="single"/>
        </w:rPr>
        <w:t xml:space="preserve">    </w:t>
      </w:r>
      <w:r>
        <w:rPr>
          <w:rFonts w:ascii="仿宋" w:hAnsi="仿宋" w:eastAsia="仿宋"/>
          <w:highlight w:val="none"/>
        </w:rPr>
        <w:t>日</w:t>
      </w:r>
    </w:p>
    <w:bookmarkEnd w:id="209"/>
    <w:p>
      <w:pPr>
        <w:spacing w:line="520" w:lineRule="exact"/>
        <w:jc w:val="center"/>
        <w:rPr>
          <w:rFonts w:hint="eastAsia" w:ascii="仿宋" w:hAnsi="仿宋" w:eastAsia="仿宋"/>
          <w:sz w:val="24"/>
          <w:highlight w:val="none"/>
        </w:rPr>
      </w:pPr>
    </w:p>
    <w:p>
      <w:pPr>
        <w:rPr>
          <w:rFonts w:hint="eastAsia" w:ascii="仿宋" w:hAnsi="仿宋" w:eastAsia="仿宋" w:cs="仿宋_GB2312"/>
          <w:sz w:val="24"/>
          <w:highlight w:val="none"/>
        </w:rPr>
      </w:pPr>
    </w:p>
    <w:p>
      <w:pPr>
        <w:rPr>
          <w:rFonts w:hint="eastAsia" w:ascii="仿宋" w:hAnsi="仿宋" w:eastAsia="仿宋"/>
          <w:highlight w:val="none"/>
        </w:rPr>
      </w:pPr>
      <w:r>
        <w:rPr>
          <w:rFonts w:hint="eastAsia" w:ascii="仿宋" w:hAnsi="仿宋" w:eastAsia="仿宋" w:cs="仿宋_GB2312"/>
          <w:sz w:val="24"/>
          <w:highlight w:val="none"/>
        </w:rPr>
        <w:t>备注：请在以下位置提供</w:t>
      </w:r>
      <w:r>
        <w:rPr>
          <w:rFonts w:ascii="仿宋" w:hAnsi="仿宋" w:eastAsia="仿宋" w:cs="仿宋_GB2312"/>
          <w:sz w:val="24"/>
          <w:highlight w:val="none"/>
        </w:rPr>
        <w:t>有关</w:t>
      </w:r>
      <w:r>
        <w:rPr>
          <w:rFonts w:hint="eastAsia" w:ascii="仿宋" w:hAnsi="仿宋" w:eastAsia="仿宋" w:cs="仿宋_GB2312"/>
          <w:sz w:val="24"/>
          <w:highlight w:val="none"/>
        </w:rPr>
        <w:t>案例业绩</w:t>
      </w:r>
      <w:r>
        <w:rPr>
          <w:rFonts w:ascii="仿宋" w:hAnsi="仿宋" w:eastAsia="仿宋" w:cs="仿宋_GB2312"/>
          <w:sz w:val="24"/>
          <w:highlight w:val="none"/>
        </w:rPr>
        <w:t>证明文件。</w:t>
      </w:r>
    </w:p>
    <w:p>
      <w:pPr>
        <w:pStyle w:val="9"/>
        <w:rPr>
          <w:highlight w:val="none"/>
        </w:rPr>
      </w:pPr>
    </w:p>
    <w:p>
      <w:pPr>
        <w:rPr>
          <w:highlight w:val="none"/>
        </w:rPr>
      </w:pPr>
    </w:p>
    <w:p>
      <w:pPr>
        <w:pStyle w:val="9"/>
        <w:spacing w:line="520" w:lineRule="exact"/>
        <w:jc w:val="center"/>
        <w:rPr>
          <w:rFonts w:hint="eastAsia" w:ascii="仿宋" w:hAnsi="仿宋" w:eastAsia="仿宋"/>
          <w:sz w:val="24"/>
          <w:highlight w:val="none"/>
        </w:rPr>
      </w:pPr>
    </w:p>
    <w:p>
      <w:pPr>
        <w:rPr>
          <w:rFonts w:hint="eastAsia" w:ascii="仿宋" w:hAnsi="仿宋" w:eastAsia="仿宋"/>
          <w:sz w:val="24"/>
          <w:highlight w:val="none"/>
        </w:rPr>
        <w:sectPr>
          <w:footerReference r:id="rId8" w:type="default"/>
          <w:footerReference r:id="rId9" w:type="even"/>
          <w:pgSz w:w="11906" w:h="16838"/>
          <w:pgMar w:top="1440" w:right="1588" w:bottom="1440" w:left="1588" w:header="851" w:footer="992" w:gutter="0"/>
          <w:pgNumType w:start="56"/>
          <w:cols w:space="720" w:num="1"/>
          <w:docGrid w:type="lines" w:linePitch="312" w:charSpace="0"/>
        </w:sectPr>
      </w:pPr>
    </w:p>
    <w:p>
      <w:pPr>
        <w:pStyle w:val="5"/>
        <w:numPr>
          <w:ilvl w:val="0"/>
          <w:numId w:val="18"/>
        </w:numPr>
        <w:rPr>
          <w:rFonts w:hint="eastAsia"/>
          <w:highlight w:val="none"/>
        </w:rPr>
      </w:pPr>
      <w:bookmarkStart w:id="211" w:name="_Toc433814136"/>
      <w:bookmarkStart w:id="212" w:name="_Toc58490821"/>
      <w:bookmarkStart w:id="213" w:name="附件八"/>
      <w:r>
        <w:rPr>
          <w:rFonts w:hint="eastAsia"/>
          <w:highlight w:val="none"/>
        </w:rPr>
        <w:t>响应人廉政承诺书</w:t>
      </w:r>
      <w:bookmarkEnd w:id="211"/>
      <w:bookmarkEnd w:id="212"/>
    </w:p>
    <w:bookmarkEnd w:id="213"/>
    <w:p>
      <w:pPr>
        <w:spacing w:after="156" w:afterLines="50" w:line="360" w:lineRule="auto"/>
        <w:jc w:val="center"/>
        <w:rPr>
          <w:rFonts w:hint="eastAsia" w:ascii="仿宋" w:hAnsi="仿宋" w:eastAsia="仿宋"/>
          <w:b/>
          <w:sz w:val="36"/>
          <w:szCs w:val="36"/>
          <w:highlight w:val="none"/>
        </w:rPr>
      </w:pPr>
      <w:r>
        <w:rPr>
          <w:rFonts w:ascii="仿宋" w:hAnsi="仿宋" w:eastAsia="仿宋"/>
          <w:b/>
          <w:sz w:val="36"/>
          <w:szCs w:val="36"/>
          <w:highlight w:val="none"/>
        </w:rPr>
        <w:t>响应人廉政承诺书</w:t>
      </w:r>
    </w:p>
    <w:p>
      <w:pPr>
        <w:spacing w:line="520" w:lineRule="exact"/>
        <w:rPr>
          <w:rFonts w:hint="eastAsia" w:ascii="仿宋" w:hAnsi="仿宋" w:eastAsia="仿宋"/>
          <w:sz w:val="24"/>
          <w:highlight w:val="none"/>
        </w:rPr>
      </w:pPr>
      <w:r>
        <w:rPr>
          <w:rFonts w:ascii="仿宋" w:hAnsi="仿宋" w:eastAsia="仿宋"/>
          <w:sz w:val="24"/>
          <w:highlight w:val="none"/>
        </w:rPr>
        <w:t>致：</w:t>
      </w:r>
      <w:r>
        <w:rPr>
          <w:rFonts w:hint="eastAsia" w:ascii="仿宋" w:hAnsi="仿宋" w:eastAsia="仿宋"/>
          <w:sz w:val="24"/>
          <w:highlight w:val="none"/>
          <w:u w:val="single"/>
        </w:rPr>
        <w:t xml:space="preserve">                                 </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为进一步规范采购活动，防止发生违法违纪行为，体现公开、公平、公正的原则，根据国家法律、法规和廉洁从业有关规定，本响应人特作如下承诺：</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1、所提供的一切材料均真实、有效、合法；</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2、不与其他响应人相互串通报价，进行围标、串标、陪标、抬标等行为，不排挤其他响应人的公平竞争，损害</w:t>
      </w:r>
      <w:r>
        <w:rPr>
          <w:rFonts w:hint="eastAsia" w:ascii="仿宋" w:hAnsi="仿宋" w:eastAsia="仿宋"/>
          <w:sz w:val="24"/>
          <w:highlight w:val="none"/>
        </w:rPr>
        <w:t>采购人</w:t>
      </w:r>
      <w:r>
        <w:rPr>
          <w:rFonts w:ascii="仿宋" w:hAnsi="仿宋" w:eastAsia="仿宋"/>
          <w:sz w:val="24"/>
          <w:highlight w:val="none"/>
        </w:rPr>
        <w:t>或其他响应人的合法权益；</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3、不与</w:t>
      </w:r>
      <w:r>
        <w:rPr>
          <w:rFonts w:hint="eastAsia" w:ascii="仿宋" w:hAnsi="仿宋" w:eastAsia="仿宋"/>
          <w:sz w:val="24"/>
          <w:highlight w:val="none"/>
        </w:rPr>
        <w:t>采购人</w:t>
      </w:r>
      <w:r>
        <w:rPr>
          <w:rFonts w:ascii="仿宋" w:hAnsi="仿宋" w:eastAsia="仿宋"/>
          <w:sz w:val="24"/>
          <w:highlight w:val="none"/>
        </w:rPr>
        <w:t>或采购代理机构串通，损害国家利益、社会公共利益或者他人的合法权益；</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4、不以他人名义</w:t>
      </w:r>
      <w:r>
        <w:rPr>
          <w:rFonts w:hint="eastAsia" w:ascii="仿宋" w:hAnsi="仿宋" w:eastAsia="仿宋"/>
          <w:sz w:val="24"/>
          <w:highlight w:val="none"/>
        </w:rPr>
        <w:t>参加谈判</w:t>
      </w:r>
      <w:r>
        <w:rPr>
          <w:rFonts w:ascii="仿宋" w:hAnsi="仿宋" w:eastAsia="仿宋"/>
          <w:sz w:val="24"/>
          <w:highlight w:val="none"/>
        </w:rPr>
        <w:t>或以其他方式弄虚作假，骗取</w:t>
      </w:r>
      <w:r>
        <w:rPr>
          <w:rFonts w:hint="eastAsia" w:ascii="仿宋" w:hAnsi="仿宋" w:eastAsia="仿宋"/>
          <w:sz w:val="24"/>
          <w:highlight w:val="none"/>
        </w:rPr>
        <w:t>成交</w:t>
      </w:r>
      <w:r>
        <w:rPr>
          <w:rFonts w:ascii="仿宋" w:hAnsi="仿宋" w:eastAsia="仿宋"/>
          <w:sz w:val="24"/>
          <w:highlight w:val="none"/>
        </w:rPr>
        <w:t>；</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5、不向</w:t>
      </w:r>
      <w:r>
        <w:rPr>
          <w:rFonts w:hint="eastAsia" w:ascii="仿宋" w:hAnsi="仿宋" w:eastAsia="仿宋"/>
          <w:sz w:val="24"/>
          <w:highlight w:val="none"/>
        </w:rPr>
        <w:t>采购人</w:t>
      </w:r>
      <w:r>
        <w:rPr>
          <w:rFonts w:ascii="仿宋" w:hAnsi="仿宋" w:eastAsia="仿宋"/>
          <w:sz w:val="24"/>
          <w:highlight w:val="none"/>
        </w:rPr>
        <w:t>、采购代理机构、</w:t>
      </w:r>
      <w:r>
        <w:rPr>
          <w:rFonts w:hint="eastAsia" w:ascii="仿宋" w:hAnsi="仿宋" w:eastAsia="仿宋"/>
          <w:sz w:val="24"/>
          <w:highlight w:val="none"/>
        </w:rPr>
        <w:t>谈判小组成员</w:t>
      </w:r>
      <w:r>
        <w:rPr>
          <w:rFonts w:ascii="仿宋" w:hAnsi="仿宋" w:eastAsia="仿宋"/>
          <w:sz w:val="24"/>
          <w:highlight w:val="none"/>
        </w:rPr>
        <w:t>行贿，以不正当手段牟取</w:t>
      </w:r>
      <w:r>
        <w:rPr>
          <w:rFonts w:hint="eastAsia" w:ascii="仿宋" w:hAnsi="仿宋" w:eastAsia="仿宋"/>
          <w:sz w:val="24"/>
          <w:highlight w:val="none"/>
        </w:rPr>
        <w:t>成交</w:t>
      </w:r>
      <w:r>
        <w:rPr>
          <w:rFonts w:ascii="仿宋" w:hAnsi="仿宋" w:eastAsia="仿宋"/>
          <w:sz w:val="24"/>
          <w:highlight w:val="none"/>
        </w:rPr>
        <w:t>；</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6、不向监管人员请客、送礼及组织其他有可能影响客观公正监管的活动；</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7、不私下接触</w:t>
      </w:r>
      <w:r>
        <w:rPr>
          <w:rFonts w:hint="eastAsia" w:ascii="仿宋" w:hAnsi="仿宋" w:eastAsia="仿宋"/>
          <w:sz w:val="24"/>
          <w:highlight w:val="none"/>
        </w:rPr>
        <w:t>谈判小组成员</w:t>
      </w:r>
      <w:r>
        <w:rPr>
          <w:rFonts w:ascii="仿宋" w:hAnsi="仿宋" w:eastAsia="仿宋"/>
          <w:sz w:val="24"/>
          <w:highlight w:val="none"/>
        </w:rPr>
        <w:t>；</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8、不给因</w:t>
      </w:r>
      <w:r>
        <w:rPr>
          <w:rFonts w:hint="eastAsia" w:ascii="仿宋" w:hAnsi="仿宋" w:eastAsia="仿宋"/>
          <w:sz w:val="24"/>
          <w:highlight w:val="none"/>
        </w:rPr>
        <w:t>参加竞争性</w:t>
      </w:r>
      <w:r>
        <w:rPr>
          <w:rFonts w:ascii="仿宋" w:hAnsi="仿宋" w:eastAsia="仿宋"/>
          <w:sz w:val="24"/>
          <w:highlight w:val="none"/>
        </w:rPr>
        <w:t>活动被追究的责任人的违法违规行为说情、解脱。</w:t>
      </w:r>
    </w:p>
    <w:p>
      <w:pPr>
        <w:spacing w:line="520" w:lineRule="exact"/>
        <w:ind w:firstLine="480" w:firstLineChars="200"/>
        <w:rPr>
          <w:rFonts w:hint="eastAsia" w:ascii="仿宋" w:hAnsi="仿宋" w:eastAsia="仿宋"/>
          <w:sz w:val="24"/>
          <w:highlight w:val="none"/>
        </w:rPr>
      </w:pPr>
      <w:r>
        <w:rPr>
          <w:rFonts w:ascii="仿宋" w:hAnsi="仿宋" w:eastAsia="仿宋"/>
          <w:sz w:val="24"/>
          <w:highlight w:val="none"/>
        </w:rPr>
        <w:t>如出现上述行为，本</w:t>
      </w:r>
      <w:r>
        <w:rPr>
          <w:rFonts w:hint="eastAsia" w:ascii="仿宋" w:hAnsi="仿宋" w:eastAsia="仿宋"/>
          <w:sz w:val="24"/>
          <w:highlight w:val="none"/>
        </w:rPr>
        <w:t>响应</w:t>
      </w:r>
      <w:r>
        <w:rPr>
          <w:rFonts w:ascii="仿宋" w:hAnsi="仿宋" w:eastAsia="仿宋"/>
          <w:sz w:val="24"/>
          <w:highlight w:val="none"/>
        </w:rPr>
        <w:t>人自愿承担相关法律及其他相关责任。</w:t>
      </w:r>
    </w:p>
    <w:p>
      <w:pPr>
        <w:spacing w:line="520" w:lineRule="exact"/>
        <w:ind w:firstLine="480" w:firstLineChars="200"/>
        <w:rPr>
          <w:rFonts w:hint="eastAsia" w:ascii="仿宋" w:hAnsi="仿宋" w:eastAsia="仿宋"/>
          <w:sz w:val="24"/>
          <w:highlight w:val="none"/>
        </w:rPr>
      </w:pPr>
    </w:p>
    <w:p>
      <w:pPr>
        <w:adjustRightInd w:val="0"/>
        <w:snapToGrid w:val="0"/>
        <w:spacing w:line="360" w:lineRule="auto"/>
        <w:ind w:firstLine="3780" w:firstLineChars="1575"/>
        <w:rPr>
          <w:rFonts w:hint="eastAsia" w:ascii="仿宋" w:hAnsi="仿宋" w:eastAsia="仿宋"/>
          <w:sz w:val="24"/>
          <w:highlight w:val="none"/>
        </w:rPr>
      </w:pP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响 应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（盖单位章）</w:t>
      </w: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法定代表人或其委托代理人：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w:t>
      </w:r>
    </w:p>
    <w:p>
      <w:pPr>
        <w:spacing w:line="360" w:lineRule="auto"/>
        <w:ind w:firstLine="3967" w:firstLineChars="1653"/>
        <w:rPr>
          <w:rFonts w:hint="eastAsia" w:ascii="仿宋" w:hAnsi="仿宋" w:eastAsia="仿宋"/>
          <w:b/>
          <w:kern w:val="0"/>
          <w:sz w:val="24"/>
          <w:szCs w:val="24"/>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line="520" w:lineRule="exact"/>
        <w:ind w:firstLine="5040" w:firstLineChars="2100"/>
        <w:rPr>
          <w:rFonts w:hint="eastAsia" w:ascii="仿宋" w:hAnsi="仿宋" w:eastAsia="仿宋"/>
          <w:sz w:val="24"/>
          <w:highlight w:val="none"/>
        </w:rPr>
      </w:pPr>
    </w:p>
    <w:p>
      <w:pPr>
        <w:spacing w:line="440" w:lineRule="exact"/>
        <w:jc w:val="center"/>
        <w:rPr>
          <w:rFonts w:hint="eastAsia" w:ascii="仿宋" w:hAnsi="仿宋" w:eastAsia="仿宋"/>
          <w:sz w:val="20"/>
          <w:szCs w:val="20"/>
          <w:highlight w:val="none"/>
        </w:rPr>
        <w:sectPr>
          <w:footerReference r:id="rId10" w:type="default"/>
          <w:pgSz w:w="11906" w:h="16838"/>
          <w:pgMar w:top="1440" w:right="1588" w:bottom="1440" w:left="1588" w:header="851" w:footer="992" w:gutter="0"/>
          <w:pgNumType w:start="60"/>
          <w:cols w:space="720" w:num="1"/>
          <w:docGrid w:type="lines" w:linePitch="312" w:charSpace="0"/>
        </w:sectPr>
      </w:pPr>
    </w:p>
    <w:p>
      <w:pPr>
        <w:pStyle w:val="5"/>
        <w:numPr>
          <w:ilvl w:val="0"/>
          <w:numId w:val="18"/>
        </w:numPr>
        <w:rPr>
          <w:rFonts w:hint="eastAsia"/>
          <w:highlight w:val="none"/>
        </w:rPr>
      </w:pPr>
      <w:bookmarkStart w:id="214" w:name="_Toc58490822"/>
      <w:bookmarkStart w:id="215" w:name="附件九"/>
      <w:r>
        <w:rPr>
          <w:rFonts w:hint="eastAsia"/>
          <w:highlight w:val="none"/>
        </w:rPr>
        <w:t>商务偏差表</w:t>
      </w:r>
      <w:bookmarkEnd w:id="214"/>
    </w:p>
    <w:bookmarkEnd w:id="215"/>
    <w:tbl>
      <w:tblPr>
        <w:tblStyle w:val="20"/>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商务</w:t>
            </w:r>
          </w:p>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偏差</w:t>
            </w: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采购文件规定</w:t>
            </w: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tcPr>
          <w:p>
            <w:pPr>
              <w:overflowPunct w:val="0"/>
              <w:topLinePunct/>
              <w:spacing w:before="100" w:after="100"/>
              <w:jc w:val="center"/>
              <w:rPr>
                <w:rFonts w:hint="eastAsia" w:ascii="仿宋" w:hAnsi="仿宋" w:eastAsia="仿宋"/>
                <w:position w:val="-9"/>
                <w:szCs w:val="21"/>
                <w:highlight w:val="none"/>
              </w:rPr>
            </w:pPr>
          </w:p>
        </w:tc>
        <w:tc>
          <w:tcPr>
            <w:tcW w:w="1316" w:type="dxa"/>
          </w:tcPr>
          <w:p>
            <w:pPr>
              <w:overflowPunct w:val="0"/>
              <w:topLinePunct/>
              <w:spacing w:before="100" w:after="100"/>
              <w:jc w:val="center"/>
              <w:rPr>
                <w:rFonts w:hint="eastAsia" w:ascii="仿宋" w:hAnsi="仿宋" w:eastAsia="仿宋"/>
                <w:position w:val="-9"/>
                <w:szCs w:val="21"/>
                <w:highlight w:val="none"/>
              </w:rPr>
            </w:pPr>
          </w:p>
        </w:tc>
        <w:tc>
          <w:tcPr>
            <w:tcW w:w="981" w:type="dxa"/>
          </w:tcPr>
          <w:p>
            <w:pPr>
              <w:overflowPunct w:val="0"/>
              <w:topLinePunct/>
              <w:spacing w:before="100" w:after="100"/>
              <w:jc w:val="center"/>
              <w:rPr>
                <w:rFonts w:hint="eastAsia" w:ascii="仿宋" w:hAnsi="仿宋" w:eastAsia="仿宋"/>
                <w:position w:val="-9"/>
                <w:szCs w:val="21"/>
                <w:highlight w:val="none"/>
              </w:rPr>
            </w:pPr>
          </w:p>
        </w:tc>
        <w:tc>
          <w:tcPr>
            <w:tcW w:w="2520" w:type="dxa"/>
          </w:tcPr>
          <w:p>
            <w:pPr>
              <w:overflowPunct w:val="0"/>
              <w:topLinePunct/>
              <w:spacing w:before="100" w:after="100"/>
              <w:jc w:val="center"/>
              <w:rPr>
                <w:rFonts w:hint="eastAsia" w:ascii="仿宋" w:hAnsi="仿宋" w:eastAsia="仿宋"/>
                <w:position w:val="-9"/>
                <w:szCs w:val="21"/>
                <w:highlight w:val="none"/>
              </w:rPr>
            </w:pPr>
          </w:p>
        </w:tc>
        <w:tc>
          <w:tcPr>
            <w:tcW w:w="1961" w:type="dxa"/>
          </w:tcPr>
          <w:p>
            <w:pPr>
              <w:overflowPunct w:val="0"/>
              <w:topLinePunct/>
              <w:spacing w:before="100" w:after="100"/>
              <w:jc w:val="center"/>
              <w:rPr>
                <w:rFonts w:hint="eastAsia" w:ascii="仿宋" w:hAnsi="仿宋" w:eastAsia="仿宋"/>
                <w:position w:val="-9"/>
                <w:szCs w:val="21"/>
                <w:highlight w:val="none"/>
              </w:rPr>
            </w:pPr>
          </w:p>
        </w:tc>
        <w:tc>
          <w:tcPr>
            <w:tcW w:w="1400" w:type="dxa"/>
          </w:tcPr>
          <w:p>
            <w:pPr>
              <w:overflowPunct w:val="0"/>
              <w:topLinePunct/>
              <w:spacing w:before="100" w:after="100"/>
              <w:jc w:val="center"/>
              <w:rPr>
                <w:rFonts w:hint="eastAsia" w:ascii="仿宋" w:hAnsi="仿宋" w:eastAsia="仿宋"/>
                <w:position w:val="-9"/>
                <w:szCs w:val="21"/>
                <w:highlight w:val="none"/>
              </w:rPr>
            </w:pPr>
          </w:p>
        </w:tc>
      </w:tr>
    </w:tbl>
    <w:p>
      <w:pPr>
        <w:rPr>
          <w:rFonts w:hint="eastAsia" w:ascii="仿宋" w:hAnsi="仿宋" w:eastAsia="仿宋"/>
          <w:highlight w:val="none"/>
        </w:rPr>
      </w:pPr>
    </w:p>
    <w:p>
      <w:pPr>
        <w:rPr>
          <w:rFonts w:hint="eastAsia" w:ascii="仿宋" w:hAnsi="仿宋" w:eastAsia="仿宋"/>
          <w:highlight w:val="none"/>
        </w:rPr>
      </w:pP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响 应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（盖单位章）</w:t>
      </w: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法定代表人或其委托代理人：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w:t>
      </w:r>
    </w:p>
    <w:p>
      <w:pPr>
        <w:tabs>
          <w:tab w:val="left" w:pos="945"/>
          <w:tab w:val="right" w:leader="dot" w:pos="8040"/>
        </w:tabs>
        <w:ind w:firstLine="3960" w:firstLineChars="1650"/>
        <w:rPr>
          <w:rFonts w:hint="eastAsia" w:ascii="仿宋" w:hAnsi="仿宋" w:eastAsia="仿宋"/>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bookmarkStart w:id="216" w:name="_Toc58490823"/>
      <w:bookmarkStart w:id="217" w:name="_Toc433814139"/>
      <w:bookmarkStart w:id="218" w:name="_Toc22147"/>
      <w:bookmarkStart w:id="219" w:name="附件十"/>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bookmarkEnd w:id="216"/>
    <w:bookmarkEnd w:id="217"/>
    <w:bookmarkEnd w:id="218"/>
    <w:bookmarkEnd w:id="219"/>
    <w:p>
      <w:pPr>
        <w:pStyle w:val="5"/>
        <w:ind w:left="210"/>
        <w:rPr>
          <w:rFonts w:hint="eastAsia"/>
          <w:sz w:val="32"/>
          <w:szCs w:val="32"/>
          <w:highlight w:val="none"/>
        </w:rPr>
      </w:pPr>
      <w:r>
        <w:rPr>
          <w:highlight w:val="none"/>
        </w:rPr>
        <w:br w:type="page"/>
      </w:r>
      <w:bookmarkStart w:id="220" w:name="附件十一"/>
      <w:bookmarkStart w:id="221" w:name="_Toc433814141"/>
      <w:bookmarkStart w:id="222" w:name="_Toc58490824"/>
      <w:r>
        <w:rPr>
          <w:rFonts w:hint="eastAsia"/>
          <w:highlight w:val="none"/>
        </w:rPr>
        <w:t>九、技术偏差表</w:t>
      </w:r>
      <w:bookmarkEnd w:id="220"/>
      <w:bookmarkEnd w:id="221"/>
      <w:bookmarkEnd w:id="222"/>
    </w:p>
    <w:p>
      <w:pPr>
        <w:rPr>
          <w:rFonts w:hint="eastAsia" w:ascii="仿宋" w:hAnsi="仿宋" w:eastAsia="仿宋"/>
          <w:highlight w:val="none"/>
        </w:rPr>
      </w:pPr>
    </w:p>
    <w:tbl>
      <w:tblPr>
        <w:tblStyle w:val="20"/>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57" w:type="dxa"/>
          <w:bottom w:w="0" w:type="dxa"/>
          <w:right w:w="57" w:type="dxa"/>
        </w:tblCellMar>
      </w:tblPr>
      <w:tblGrid>
        <w:gridCol w:w="894"/>
        <w:gridCol w:w="1316"/>
        <w:gridCol w:w="981"/>
        <w:gridCol w:w="2520"/>
        <w:gridCol w:w="1961"/>
        <w:gridCol w:w="140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restart"/>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技术偏差</w:t>
            </w: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条目</w:t>
            </w: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页码</w:t>
            </w: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竞争性谈判文件规定</w:t>
            </w: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偏差</w:t>
            </w: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r>
              <w:rPr>
                <w:rFonts w:hint="eastAsia" w:ascii="仿宋" w:hAnsi="仿宋" w:eastAsia="仿宋"/>
                <w:position w:val="-9"/>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57" w:type="dxa"/>
            <w:bottom w:w="0" w:type="dxa"/>
            <w:right w:w="57" w:type="dxa"/>
          </w:tblCellMar>
        </w:tblPrEx>
        <w:trPr>
          <w:jc w:val="center"/>
        </w:trPr>
        <w:tc>
          <w:tcPr>
            <w:tcW w:w="894" w:type="dxa"/>
            <w:vMerge w:val="continue"/>
            <w:vAlign w:val="center"/>
          </w:tcPr>
          <w:p>
            <w:pPr>
              <w:overflowPunct w:val="0"/>
              <w:topLinePunct/>
              <w:spacing w:before="100" w:after="100"/>
              <w:jc w:val="center"/>
              <w:rPr>
                <w:rFonts w:hint="eastAsia" w:ascii="仿宋" w:hAnsi="仿宋" w:eastAsia="仿宋"/>
                <w:position w:val="-9"/>
                <w:szCs w:val="21"/>
                <w:highlight w:val="none"/>
              </w:rPr>
            </w:pPr>
          </w:p>
        </w:tc>
        <w:tc>
          <w:tcPr>
            <w:tcW w:w="1316" w:type="dxa"/>
            <w:vAlign w:val="center"/>
          </w:tcPr>
          <w:p>
            <w:pPr>
              <w:overflowPunct w:val="0"/>
              <w:topLinePunct/>
              <w:spacing w:before="100" w:after="100"/>
              <w:jc w:val="center"/>
              <w:rPr>
                <w:rFonts w:hint="eastAsia" w:ascii="仿宋" w:hAnsi="仿宋" w:eastAsia="仿宋"/>
                <w:position w:val="-9"/>
                <w:szCs w:val="21"/>
                <w:highlight w:val="none"/>
              </w:rPr>
            </w:pPr>
          </w:p>
        </w:tc>
        <w:tc>
          <w:tcPr>
            <w:tcW w:w="981" w:type="dxa"/>
            <w:vAlign w:val="center"/>
          </w:tcPr>
          <w:p>
            <w:pPr>
              <w:overflowPunct w:val="0"/>
              <w:topLinePunct/>
              <w:spacing w:before="100" w:after="100"/>
              <w:jc w:val="center"/>
              <w:rPr>
                <w:rFonts w:hint="eastAsia" w:ascii="仿宋" w:hAnsi="仿宋" w:eastAsia="仿宋"/>
                <w:position w:val="-9"/>
                <w:szCs w:val="21"/>
                <w:highlight w:val="none"/>
              </w:rPr>
            </w:pPr>
          </w:p>
        </w:tc>
        <w:tc>
          <w:tcPr>
            <w:tcW w:w="2520" w:type="dxa"/>
            <w:vAlign w:val="center"/>
          </w:tcPr>
          <w:p>
            <w:pPr>
              <w:overflowPunct w:val="0"/>
              <w:topLinePunct/>
              <w:spacing w:before="100" w:after="100"/>
              <w:jc w:val="center"/>
              <w:rPr>
                <w:rFonts w:hint="eastAsia" w:ascii="仿宋" w:hAnsi="仿宋" w:eastAsia="仿宋"/>
                <w:position w:val="-9"/>
                <w:szCs w:val="21"/>
                <w:highlight w:val="none"/>
              </w:rPr>
            </w:pPr>
          </w:p>
        </w:tc>
        <w:tc>
          <w:tcPr>
            <w:tcW w:w="1961" w:type="dxa"/>
            <w:vAlign w:val="center"/>
          </w:tcPr>
          <w:p>
            <w:pPr>
              <w:overflowPunct w:val="0"/>
              <w:topLinePunct/>
              <w:spacing w:before="100" w:after="100"/>
              <w:jc w:val="center"/>
              <w:rPr>
                <w:rFonts w:hint="eastAsia" w:ascii="仿宋" w:hAnsi="仿宋" w:eastAsia="仿宋"/>
                <w:position w:val="-9"/>
                <w:szCs w:val="21"/>
                <w:highlight w:val="none"/>
              </w:rPr>
            </w:pPr>
          </w:p>
        </w:tc>
        <w:tc>
          <w:tcPr>
            <w:tcW w:w="1400" w:type="dxa"/>
            <w:vAlign w:val="center"/>
          </w:tcPr>
          <w:p>
            <w:pPr>
              <w:overflowPunct w:val="0"/>
              <w:topLinePunct/>
              <w:spacing w:before="100" w:after="100"/>
              <w:jc w:val="center"/>
              <w:rPr>
                <w:rFonts w:hint="eastAsia" w:ascii="仿宋" w:hAnsi="仿宋" w:eastAsia="仿宋"/>
                <w:position w:val="-9"/>
                <w:szCs w:val="21"/>
                <w:highlight w:val="none"/>
              </w:rPr>
            </w:pPr>
          </w:p>
        </w:tc>
      </w:tr>
    </w:tbl>
    <w:p>
      <w:pPr>
        <w:rPr>
          <w:rFonts w:hint="eastAsia" w:ascii="仿宋" w:hAnsi="仿宋" w:eastAsia="仿宋"/>
          <w:highlight w:val="none"/>
        </w:rPr>
      </w:pPr>
    </w:p>
    <w:p>
      <w:pPr>
        <w:rPr>
          <w:rFonts w:hint="eastAsia" w:ascii="仿宋" w:hAnsi="仿宋" w:eastAsia="仿宋"/>
          <w:highlight w:val="none"/>
        </w:rPr>
      </w:pP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响 应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（盖单位章）</w:t>
      </w:r>
    </w:p>
    <w:p>
      <w:pPr>
        <w:spacing w:line="360" w:lineRule="auto"/>
        <w:ind w:firstLine="3967" w:firstLineChars="1653"/>
        <w:rPr>
          <w:rFonts w:hint="eastAsia" w:ascii="仿宋" w:hAnsi="仿宋" w:eastAsia="仿宋"/>
          <w:sz w:val="24"/>
          <w:szCs w:val="24"/>
          <w:highlight w:val="none"/>
        </w:rPr>
      </w:pPr>
      <w:r>
        <w:rPr>
          <w:rFonts w:hint="eastAsia" w:ascii="仿宋" w:hAnsi="仿宋" w:eastAsia="仿宋"/>
          <w:sz w:val="24"/>
          <w:szCs w:val="24"/>
          <w:highlight w:val="none"/>
        </w:rPr>
        <w:t>法定代表人或其委托代理人：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w:t>
      </w:r>
    </w:p>
    <w:p>
      <w:pPr>
        <w:tabs>
          <w:tab w:val="left" w:pos="945"/>
          <w:tab w:val="right" w:leader="dot" w:pos="8040"/>
        </w:tabs>
        <w:ind w:firstLine="3960" w:firstLineChars="1650"/>
        <w:rPr>
          <w:rFonts w:hint="eastAsia" w:ascii="仿宋" w:hAnsi="仿宋" w:eastAsia="仿宋"/>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pPr>
        <w:spacing w:line="440" w:lineRule="exact"/>
        <w:ind w:firstLine="3675" w:firstLineChars="1750"/>
        <w:rPr>
          <w:rFonts w:hint="eastAsia" w:ascii="仿宋" w:hAnsi="仿宋" w:eastAsia="仿宋"/>
          <w:highlight w:val="none"/>
        </w:rPr>
      </w:pPr>
    </w:p>
    <w:p>
      <w:pPr>
        <w:rPr>
          <w:highlight w:val="none"/>
        </w:rPr>
      </w:pPr>
      <w:r>
        <w:rPr>
          <w:highlight w:val="none"/>
        </w:rPr>
        <w:br w:type="page"/>
      </w:r>
    </w:p>
    <w:p>
      <w:pPr>
        <w:pStyle w:val="7"/>
        <w:numPr>
          <w:ilvl w:val="2"/>
          <w:numId w:val="0"/>
        </w:numPr>
        <w:rPr>
          <w:rFonts w:hint="eastAsia"/>
          <w:bCs/>
          <w:highlight w:val="none"/>
        </w:rPr>
      </w:pPr>
      <w:bookmarkStart w:id="223" w:name="_Toc58490828"/>
      <w:r>
        <w:rPr>
          <w:rFonts w:hint="eastAsia"/>
          <w:bCs/>
          <w:highlight w:val="none"/>
        </w:rPr>
        <w:t>十、功能清单</w:t>
      </w:r>
    </w:p>
    <w:p>
      <w:pPr>
        <w:pStyle w:val="7"/>
        <w:numPr>
          <w:ilvl w:val="2"/>
          <w:numId w:val="0"/>
        </w:numPr>
        <w:rPr>
          <w:rFonts w:hint="eastAsia"/>
          <w:highlight w:val="none"/>
        </w:rPr>
      </w:pPr>
      <w:r>
        <w:rPr>
          <w:rFonts w:hint="eastAsia"/>
          <w:highlight w:val="none"/>
        </w:rPr>
        <w:t>1.1组织管理</w:t>
      </w:r>
    </w:p>
    <w:p>
      <w:pPr>
        <w:pStyle w:val="6"/>
        <w:rPr>
          <w:highlight w:val="none"/>
        </w:rPr>
      </w:pPr>
      <w:r>
        <w:rPr>
          <w:rFonts w:hint="eastAsia"/>
          <w:highlight w:val="none"/>
        </w:rPr>
        <w:t>1.部门管理：设置部门管理，设置管辖范围，实现对内部组织机构管理。</w:t>
      </w:r>
    </w:p>
    <w:p>
      <w:pPr>
        <w:pStyle w:val="6"/>
        <w:rPr>
          <w:highlight w:val="none"/>
        </w:rPr>
      </w:pPr>
      <w:r>
        <w:rPr>
          <w:rFonts w:hint="eastAsia"/>
          <w:highlight w:val="none"/>
        </w:rPr>
        <w:t>2.人员管理：设置人员及角色，实现对不同部门下的人员管理。</w:t>
      </w:r>
    </w:p>
    <w:p>
      <w:pPr>
        <w:pStyle w:val="6"/>
        <w:rPr>
          <w:highlight w:val="none"/>
        </w:rPr>
      </w:pPr>
      <w:r>
        <w:rPr>
          <w:rFonts w:hint="eastAsia"/>
          <w:highlight w:val="none"/>
        </w:rPr>
        <w:t>3.角色管理：设置角色及对应的权限，实现对不同角色在系统内的不同权限管理。</w:t>
      </w:r>
    </w:p>
    <w:p>
      <w:pPr>
        <w:pStyle w:val="7"/>
        <w:numPr>
          <w:ilvl w:val="2"/>
          <w:numId w:val="0"/>
        </w:numPr>
        <w:rPr>
          <w:rFonts w:hint="eastAsia"/>
          <w:highlight w:val="none"/>
        </w:rPr>
      </w:pPr>
      <w:r>
        <w:rPr>
          <w:rFonts w:hint="eastAsia"/>
          <w:highlight w:val="none"/>
        </w:rPr>
        <w:t>1.2区域管理</w:t>
      </w:r>
    </w:p>
    <w:p>
      <w:pPr>
        <w:pStyle w:val="6"/>
        <w:ind w:firstLine="420" w:firstLineChars="0"/>
        <w:rPr>
          <w:highlight w:val="none"/>
        </w:rPr>
      </w:pPr>
      <w:r>
        <w:rPr>
          <w:rFonts w:hint="eastAsia" w:ascii="宋体" w:hAnsi="宋体"/>
          <w:szCs w:val="24"/>
          <w:highlight w:val="none"/>
        </w:rPr>
        <w:t>集成多维地理空间管控能力，支持高精度地图标注、电子围栏自助绘制、禁飞区动态划界及保护区分级编辑功能。结合直观的地图进行点、线、面的标注，通过灵活组合，实现禁飞区、保护区、限高区、电子围栏区等空间面的标绘</w:t>
      </w:r>
      <w:r>
        <w:rPr>
          <w:rFonts w:hint="eastAsia"/>
          <w:highlight w:val="none"/>
        </w:rPr>
        <w:t>。</w:t>
      </w:r>
    </w:p>
    <w:p>
      <w:pPr>
        <w:pStyle w:val="7"/>
        <w:numPr>
          <w:ilvl w:val="2"/>
          <w:numId w:val="0"/>
        </w:numPr>
        <w:rPr>
          <w:rFonts w:hint="eastAsia"/>
          <w:highlight w:val="none"/>
        </w:rPr>
      </w:pPr>
      <w:r>
        <w:rPr>
          <w:rFonts w:hint="eastAsia"/>
          <w:highlight w:val="none"/>
        </w:rPr>
        <w:t>1.3任务管理</w:t>
      </w:r>
    </w:p>
    <w:p>
      <w:pPr>
        <w:pStyle w:val="6"/>
        <w:rPr>
          <w:highlight w:val="none"/>
        </w:rPr>
      </w:pPr>
      <w:r>
        <w:rPr>
          <w:rFonts w:hint="eastAsia"/>
          <w:highlight w:val="none"/>
        </w:rPr>
        <w:t>1.</w:t>
      </w:r>
      <w:r>
        <w:rPr>
          <w:highlight w:val="none"/>
        </w:rPr>
        <w:t>显示最近一段时间内的巡检任务列表，包括任务编号、任务名称、任务类型（如日常巡检、专项检查等）、任务开始时间和预计结束时间。</w:t>
      </w:r>
    </w:p>
    <w:p>
      <w:pPr>
        <w:pStyle w:val="6"/>
        <w:rPr>
          <w:highlight w:val="none"/>
        </w:rPr>
      </w:pPr>
      <w:r>
        <w:rPr>
          <w:rFonts w:hint="eastAsia"/>
          <w:highlight w:val="none"/>
        </w:rPr>
        <w:t>2.无人机基础信息显示：包括经纬度、水平速度、垂直速度、高度、距返航点距离等。</w:t>
      </w:r>
    </w:p>
    <w:p>
      <w:pPr>
        <w:pStyle w:val="6"/>
        <w:rPr>
          <w:highlight w:val="none"/>
        </w:rPr>
      </w:pPr>
      <w:r>
        <w:rPr>
          <w:rFonts w:hint="eastAsia"/>
          <w:highlight w:val="none"/>
        </w:rPr>
        <w:t>3.飞行报告：展示在执行航线中的无人机实时状态：位置、高度、电量、风速、航线执行进度。</w:t>
      </w:r>
    </w:p>
    <w:p>
      <w:pPr>
        <w:pStyle w:val="6"/>
        <w:rPr>
          <w:highlight w:val="none"/>
        </w:rPr>
      </w:pPr>
      <w:r>
        <w:rPr>
          <w:rFonts w:hint="eastAsia"/>
          <w:highlight w:val="none"/>
        </w:rPr>
        <w:t>4.后台管理：可从电量、4G 信号等多个维度查看任务的飞行轨迹，同时支持实时模拟无人机飞行，以及查看轨迹、姿态、高度等相关数据，并能统计当次飞行里程与时长。</w:t>
      </w:r>
    </w:p>
    <w:p>
      <w:pPr>
        <w:pStyle w:val="7"/>
        <w:numPr>
          <w:ilvl w:val="2"/>
          <w:numId w:val="0"/>
        </w:numPr>
        <w:rPr>
          <w:rFonts w:hint="eastAsia"/>
          <w:highlight w:val="none"/>
        </w:rPr>
      </w:pPr>
      <w:r>
        <w:rPr>
          <w:rFonts w:hint="eastAsia"/>
          <w:highlight w:val="none"/>
        </w:rPr>
        <w:t>1.4直播管理</w:t>
      </w:r>
    </w:p>
    <w:p>
      <w:pPr>
        <w:pStyle w:val="6"/>
        <w:ind w:firstLine="420" w:firstLineChars="0"/>
        <w:rPr>
          <w:highlight w:val="none"/>
        </w:rPr>
      </w:pPr>
      <w:r>
        <w:rPr>
          <w:rFonts w:hint="eastAsia"/>
          <w:highlight w:val="none"/>
        </w:rPr>
        <w:t>1.直播分享：</w:t>
      </w:r>
      <w:r>
        <w:rPr>
          <w:rFonts w:hint="eastAsia" w:ascii="宋体" w:hAnsi="宋体"/>
          <w:sz w:val="22"/>
          <w:szCs w:val="22"/>
          <w:highlight w:val="none"/>
          <w:lang w:bidi="ar"/>
        </w:rPr>
        <w:t>显示二维码和链接，可设置加密分享和时间限制，分享的视频可显示无人机的位置和信息</w:t>
      </w:r>
      <w:r>
        <w:rPr>
          <w:rFonts w:hint="eastAsia"/>
          <w:highlight w:val="none"/>
        </w:rPr>
        <w:t>。</w:t>
      </w:r>
    </w:p>
    <w:p>
      <w:pPr>
        <w:pStyle w:val="6"/>
        <w:ind w:firstLine="420" w:firstLineChars="0"/>
        <w:rPr>
          <w:highlight w:val="none"/>
        </w:rPr>
      </w:pPr>
      <w:r>
        <w:rPr>
          <w:rFonts w:hint="eastAsia"/>
          <w:highlight w:val="none"/>
        </w:rPr>
        <w:t>2.录像回放：同步记录机场、无人机每小时、每架次视频直播流，支持录像回放、下载。</w:t>
      </w:r>
    </w:p>
    <w:p>
      <w:pPr>
        <w:pStyle w:val="6"/>
        <w:ind w:firstLine="420" w:firstLineChars="0"/>
        <w:rPr>
          <w:highlight w:val="none"/>
        </w:rPr>
      </w:pPr>
      <w:r>
        <w:rPr>
          <w:rFonts w:hint="eastAsia"/>
          <w:highlight w:val="none"/>
        </w:rPr>
        <w:t>3.多种协议：支持RTMP、GB28181多种协议的视频推流直播。</w:t>
      </w:r>
    </w:p>
    <w:p>
      <w:pPr>
        <w:pStyle w:val="6"/>
        <w:ind w:firstLine="420" w:firstLineChars="0"/>
        <w:rPr>
          <w:highlight w:val="none"/>
        </w:rPr>
      </w:pPr>
      <w:r>
        <w:rPr>
          <w:rFonts w:hint="eastAsia"/>
          <w:highlight w:val="none"/>
        </w:rPr>
        <w:t>4.多端查看：能够利用无人机搭载高清摄像头，将拍摄的实时画面通过高速数据链路传输至应用模块，供监控人员实时查看。支持多画面同时监控，便于对不同区域的巡查情况进行对比分析。</w:t>
      </w:r>
    </w:p>
    <w:p>
      <w:pPr>
        <w:pStyle w:val="7"/>
        <w:numPr>
          <w:ilvl w:val="2"/>
          <w:numId w:val="0"/>
        </w:numPr>
        <w:rPr>
          <w:rFonts w:hint="eastAsia"/>
          <w:highlight w:val="none"/>
        </w:rPr>
      </w:pPr>
      <w:r>
        <w:rPr>
          <w:rFonts w:hint="eastAsia"/>
          <w:highlight w:val="none"/>
        </w:rPr>
        <w:t>1.5航线规划及任务管理</w:t>
      </w:r>
    </w:p>
    <w:p>
      <w:pPr>
        <w:pStyle w:val="6"/>
        <w:ind w:firstLine="420" w:firstLineChars="0"/>
        <w:rPr>
          <w:highlight w:val="none"/>
        </w:rPr>
      </w:pPr>
      <w:r>
        <w:rPr>
          <w:rFonts w:hint="eastAsia"/>
          <w:highlight w:val="none"/>
        </w:rPr>
        <w:t>1.多种类型航线规划：结合低空起降实施规划方案，以安全、经济、高效为目标，根据实际需求规划低空飞行航路的近远期方案；同时提出试验航路划设方案。</w:t>
      </w:r>
    </w:p>
    <w:p>
      <w:pPr>
        <w:pStyle w:val="6"/>
        <w:ind w:firstLine="420" w:firstLineChars="0"/>
        <w:rPr>
          <w:highlight w:val="none"/>
        </w:rPr>
      </w:pPr>
      <w:r>
        <w:rPr>
          <w:rFonts w:hint="eastAsia"/>
          <w:highlight w:val="none"/>
        </w:rPr>
        <w:t>2.航线管理：支持地图场景下新建航线任务，支持航线任务导入。</w:t>
      </w:r>
    </w:p>
    <w:p>
      <w:pPr>
        <w:pStyle w:val="6"/>
        <w:ind w:firstLine="420" w:firstLineChars="0"/>
        <w:rPr>
          <w:highlight w:val="none"/>
        </w:rPr>
      </w:pPr>
      <w:r>
        <w:rPr>
          <w:rFonts w:hint="eastAsia"/>
          <w:highlight w:val="none"/>
        </w:rPr>
        <w:t>3.航线同步：航线规划成功后自动同步至机场，实现全景采集、环绕飞行、定点拍摄、地理信息采集等任务。</w:t>
      </w:r>
    </w:p>
    <w:p>
      <w:pPr>
        <w:pStyle w:val="6"/>
        <w:ind w:firstLine="420" w:firstLineChars="0"/>
        <w:rPr>
          <w:highlight w:val="none"/>
        </w:rPr>
      </w:pPr>
      <w:r>
        <w:rPr>
          <w:rFonts w:hint="eastAsia"/>
          <w:highlight w:val="none"/>
        </w:rPr>
        <w:t>4.航线录制：使用无人机在实时飞行过程中新增航点，记录无人机的姿态、位置，航点可增加动作与航线管理同步，航线录制结束后，可生成对应的无人机航点航线。</w:t>
      </w:r>
    </w:p>
    <w:p>
      <w:pPr>
        <w:pStyle w:val="7"/>
        <w:numPr>
          <w:ilvl w:val="2"/>
          <w:numId w:val="0"/>
        </w:numPr>
        <w:rPr>
          <w:rFonts w:hint="eastAsia"/>
          <w:highlight w:val="none"/>
        </w:rPr>
      </w:pPr>
      <w:r>
        <w:rPr>
          <w:rFonts w:hint="eastAsia"/>
          <w:highlight w:val="none"/>
        </w:rPr>
        <w:t>1.6数据管理</w:t>
      </w:r>
    </w:p>
    <w:p>
      <w:pPr>
        <w:pStyle w:val="6"/>
        <w:ind w:firstLine="420" w:firstLineChars="0"/>
        <w:rPr>
          <w:highlight w:val="none"/>
        </w:rPr>
      </w:pPr>
      <w:r>
        <w:rPr>
          <w:rFonts w:hint="eastAsia"/>
          <w:highlight w:val="none"/>
        </w:rPr>
        <w:t>1.飞行数据：支持为飞行历史记录配置标签和备注，提供检索功能，以便于快速定位、查看每一条过往的飞行记录；支持导出飞行视频、删除飞行视频；支持查看过往单次飞行的详细信息，用户能够控制回放进度。信息包括但是不限于：飞行轨迹、飞行时拍摄的视频图像、设备信息、组织信息、起飞时间、图传信号、遥控电量、飞机电量、经度、纬度等参数。</w:t>
      </w:r>
    </w:p>
    <w:p>
      <w:pPr>
        <w:pStyle w:val="6"/>
        <w:ind w:firstLine="420" w:firstLineChars="0"/>
        <w:rPr>
          <w:highlight w:val="none"/>
        </w:rPr>
      </w:pPr>
      <w:r>
        <w:rPr>
          <w:rFonts w:hint="eastAsia"/>
          <w:highlight w:val="none"/>
        </w:rPr>
        <w:t>2.图片查看器：支持预览广角、变焦、红外、可见光、全景等照片类型，支持查看图像详细信息，图像位置高度，拍摄视角等，支持在地图上展示图像位置。支持过滤图像类别展示，支持图像放大、缩小、还原、刷新、下载等操作。</w:t>
      </w:r>
    </w:p>
    <w:p>
      <w:pPr>
        <w:pStyle w:val="6"/>
        <w:ind w:firstLine="420" w:firstLineChars="0"/>
        <w:rPr>
          <w:highlight w:val="none"/>
        </w:rPr>
      </w:pPr>
      <w:r>
        <w:rPr>
          <w:rFonts w:hint="eastAsia"/>
          <w:highlight w:val="none"/>
        </w:rPr>
        <w:t>3.批量管理：支持批量下载、删除数据。</w:t>
      </w:r>
    </w:p>
    <w:p>
      <w:pPr>
        <w:pStyle w:val="7"/>
        <w:numPr>
          <w:ilvl w:val="2"/>
          <w:numId w:val="0"/>
        </w:numPr>
        <w:rPr>
          <w:rFonts w:hint="eastAsia"/>
          <w:highlight w:val="none"/>
        </w:rPr>
      </w:pPr>
      <w:r>
        <w:rPr>
          <w:rFonts w:hint="eastAsia"/>
          <w:highlight w:val="none"/>
        </w:rPr>
        <w:t>1.7设备监控</w:t>
      </w:r>
    </w:p>
    <w:p>
      <w:pPr>
        <w:pStyle w:val="6"/>
        <w:ind w:firstLine="420" w:firstLineChars="0"/>
        <w:rPr>
          <w:highlight w:val="none"/>
        </w:rPr>
      </w:pPr>
      <w:r>
        <w:rPr>
          <w:rFonts w:hint="eastAsia"/>
          <w:highlight w:val="none"/>
        </w:rPr>
        <w:t>1.多屏查看：实现在平台端以四分屏、六分屏、九分屏等方式进行电视墙形态直播无人机实时视频。</w:t>
      </w:r>
    </w:p>
    <w:p>
      <w:pPr>
        <w:pStyle w:val="6"/>
        <w:ind w:firstLine="420" w:firstLineChars="0"/>
        <w:rPr>
          <w:highlight w:val="none"/>
        </w:rPr>
      </w:pPr>
      <w:r>
        <w:rPr>
          <w:rFonts w:hint="eastAsia"/>
          <w:highlight w:val="none"/>
        </w:rPr>
        <w:t>2.画面组装：支持拖拽视频、地图框，优化布局。</w:t>
      </w:r>
    </w:p>
    <w:p>
      <w:pPr>
        <w:pStyle w:val="6"/>
        <w:ind w:firstLine="420" w:firstLineChars="0"/>
        <w:rPr>
          <w:highlight w:val="none"/>
        </w:rPr>
      </w:pPr>
      <w:r>
        <w:rPr>
          <w:rFonts w:hint="eastAsia"/>
          <w:highlight w:val="none"/>
        </w:rPr>
        <w:t>4.多元设备：支持多类型视频终端设备将实时视频投送至平台端进行实时显示。对视频展示的布局方式进行选择，标准模式为：四宫格展示、六宫格展示、九宫格，十二宫格展示。</w:t>
      </w:r>
    </w:p>
    <w:p>
      <w:pPr>
        <w:pStyle w:val="6"/>
        <w:ind w:firstLine="420" w:firstLineChars="0"/>
        <w:rPr>
          <w:highlight w:val="none"/>
        </w:rPr>
      </w:pPr>
      <w:r>
        <w:rPr>
          <w:rFonts w:hint="eastAsia"/>
          <w:highlight w:val="none"/>
        </w:rPr>
        <w:t>5.录像回放：同步记录机场、无人机每小时、每架次视频直播流，支持录像回放、下载</w:t>
      </w:r>
    </w:p>
    <w:p>
      <w:pPr>
        <w:pStyle w:val="6"/>
        <w:ind w:firstLine="420" w:firstLineChars="0"/>
        <w:rPr>
          <w:highlight w:val="none"/>
        </w:rPr>
      </w:pPr>
      <w:r>
        <w:rPr>
          <w:rFonts w:hint="eastAsia"/>
          <w:highlight w:val="none"/>
        </w:rPr>
        <w:t>6.多端查看：支持流媒体分发服务，支持具备同时向3种以上的终端（PC、手机、IPad）提供视频直播服务</w:t>
      </w:r>
    </w:p>
    <w:p>
      <w:pPr>
        <w:pStyle w:val="7"/>
        <w:numPr>
          <w:ilvl w:val="2"/>
          <w:numId w:val="0"/>
        </w:numPr>
        <w:rPr>
          <w:rFonts w:hint="eastAsia"/>
          <w:highlight w:val="none"/>
        </w:rPr>
      </w:pPr>
      <w:r>
        <w:rPr>
          <w:rFonts w:hint="eastAsia"/>
          <w:highlight w:val="none"/>
        </w:rPr>
        <w:t>1.8飞行控制</w:t>
      </w:r>
    </w:p>
    <w:p>
      <w:pPr>
        <w:pStyle w:val="6"/>
        <w:rPr>
          <w:highlight w:val="none"/>
        </w:rPr>
      </w:pPr>
      <w:r>
        <w:rPr>
          <w:rFonts w:hint="eastAsia"/>
          <w:highlight w:val="none"/>
        </w:rPr>
        <w:t>1.手动飞行：在无人机自动飞行的过程中，支持手动抢夺控制权，获取控制权后，支持使用键盘按键进行飞行，支持Q（左转向），E（右转向）、Z（上升）、C（下降）、W（前进）、S（后退）、A（左移）、D（右移）等操作。</w:t>
      </w:r>
    </w:p>
    <w:p>
      <w:pPr>
        <w:pStyle w:val="6"/>
        <w:rPr>
          <w:highlight w:val="none"/>
        </w:rPr>
      </w:pPr>
      <w:r>
        <w:rPr>
          <w:rFonts w:hint="eastAsia"/>
          <w:highlight w:val="none"/>
        </w:rPr>
        <w:t>2.指点飞行：支持通过在地图上右键选点或通过平台提供的地址搜索服务的方式进行选点，可直接飞往目标点，可调节飞行高度、飞行速度等相关飞行参数。</w:t>
      </w:r>
    </w:p>
    <w:p>
      <w:pPr>
        <w:pStyle w:val="6"/>
        <w:rPr>
          <w:highlight w:val="none"/>
        </w:rPr>
      </w:pPr>
      <w:r>
        <w:rPr>
          <w:rFonts w:hint="eastAsia"/>
          <w:highlight w:val="none"/>
        </w:rPr>
        <w:t>3.负载控制：在飞行过程中，支持云台视角快捷切换、镜头快捷切换（变焦、红外、FPV、广角）。支持无人机拍照、录像、全景拍照、低光拍照等4种模式。</w:t>
      </w:r>
    </w:p>
    <w:p>
      <w:pPr>
        <w:pStyle w:val="6"/>
        <w:rPr>
          <w:highlight w:val="none"/>
        </w:rPr>
      </w:pPr>
      <w:r>
        <w:rPr>
          <w:rFonts w:hint="eastAsia"/>
          <w:highlight w:val="none"/>
        </w:rPr>
        <w:t>4.控制权隔离：为保障飞行安全，采用了控制权隔离技术，在用户进行飞行时，其他用户只能看到当前无人机的画面以及一部分飞行信息，无法对无人机进行操作，用户需要对该无人机进行申请操作，经过同意后，才可正常使用。</w:t>
      </w:r>
    </w:p>
    <w:p>
      <w:pPr>
        <w:pStyle w:val="6"/>
        <w:rPr>
          <w:highlight w:val="none"/>
        </w:rPr>
      </w:pPr>
      <w:r>
        <w:rPr>
          <w:rFonts w:hint="eastAsia"/>
          <w:highlight w:val="none"/>
        </w:rPr>
        <w:t>5.飞行状态记录：</w:t>
      </w:r>
      <w:r>
        <w:rPr>
          <w:rFonts w:hint="eastAsia" w:ascii="宋体" w:hAnsi="宋体"/>
          <w:szCs w:val="24"/>
          <w:highlight w:val="none"/>
        </w:rPr>
        <w:t>实现监控无人机状态实时监控，通过全面追踪飞行轨迹、高度、速度、电量及图传信号，确保飞行安全与任务高效执行</w:t>
      </w:r>
      <w:r>
        <w:rPr>
          <w:rFonts w:hint="eastAsia"/>
          <w:highlight w:val="none"/>
        </w:rPr>
        <w:t>。</w:t>
      </w:r>
    </w:p>
    <w:p>
      <w:pPr>
        <w:pStyle w:val="7"/>
        <w:numPr>
          <w:ilvl w:val="2"/>
          <w:numId w:val="0"/>
        </w:numPr>
        <w:rPr>
          <w:rFonts w:hint="eastAsia"/>
          <w:highlight w:val="none"/>
        </w:rPr>
      </w:pPr>
      <w:r>
        <w:rPr>
          <w:rFonts w:hint="eastAsia"/>
          <w:highlight w:val="none"/>
        </w:rPr>
        <w:t>1.9系统管理</w:t>
      </w:r>
    </w:p>
    <w:p>
      <w:pPr>
        <w:pStyle w:val="6"/>
        <w:rPr>
          <w:highlight w:val="none"/>
        </w:rPr>
      </w:pPr>
      <w:r>
        <w:rPr>
          <w:rFonts w:hint="eastAsia"/>
          <w:highlight w:val="none"/>
        </w:rPr>
        <w:t>1.数据加密：采用RSA算法等对敏感数据进行加密存储，采用非对称加密等算法对敏感数据进行加密传输，保障数据安全。</w:t>
      </w:r>
    </w:p>
    <w:p>
      <w:pPr>
        <w:pStyle w:val="6"/>
        <w:rPr>
          <w:highlight w:val="none"/>
        </w:rPr>
      </w:pPr>
      <w:r>
        <w:rPr>
          <w:rFonts w:hint="eastAsia"/>
          <w:highlight w:val="none"/>
        </w:rPr>
        <w:t>2.用户访问安全： 加强安全监管能力建设，完善安全监管制度和流程，包括频繁访问限制、越权限制、多因素认证、密码安全配置、黑白名单配置等安全技术和功能，实现系统精细化安全访问控制。同时，建立应急响应机制，在触发安全预警条件时，限制用户访问或操作相关数据。</w:t>
      </w:r>
    </w:p>
    <w:p>
      <w:pPr>
        <w:pStyle w:val="6"/>
        <w:rPr>
          <w:highlight w:val="none"/>
        </w:rPr>
      </w:pPr>
      <w:r>
        <w:rPr>
          <w:rFonts w:hint="eastAsia"/>
          <w:highlight w:val="none"/>
        </w:rPr>
        <w:t>3.提供系统用户管理：支持多维用户标签（角色、部门、地理位置等）。</w:t>
      </w:r>
    </w:p>
    <w:p>
      <w:pPr>
        <w:pStyle w:val="6"/>
        <w:rPr>
          <w:highlight w:val="none"/>
        </w:rPr>
      </w:pPr>
      <w:r>
        <w:rPr>
          <w:rFonts w:hint="eastAsia"/>
          <w:highlight w:val="none"/>
        </w:rPr>
        <w:t>4.操作日志管理：操作记录日志，系统内各类操作的记录。</w:t>
      </w:r>
    </w:p>
    <w:p>
      <w:pPr>
        <w:pStyle w:val="6"/>
        <w:rPr>
          <w:highlight w:val="none"/>
        </w:rPr>
      </w:pPr>
      <w:r>
        <w:rPr>
          <w:rFonts w:hint="eastAsia"/>
          <w:highlight w:val="none"/>
        </w:rPr>
        <w:t>5.登录管理：支持记录用户账号在平台的登录时间，支持手机验证码登录。</w:t>
      </w:r>
    </w:p>
    <w:p>
      <w:pPr>
        <w:pStyle w:val="6"/>
        <w:rPr>
          <w:highlight w:val="none"/>
        </w:rPr>
      </w:pPr>
      <w:r>
        <w:rPr>
          <w:rFonts w:hint="eastAsia"/>
          <w:highlight w:val="none"/>
        </w:rPr>
        <w:t>6.安全监测：搭建安全监测中心，对入侵监测、安全事件等进行实时监控，出现事件后能实时报送预警信息给运维人员并进行处置。</w:t>
      </w:r>
    </w:p>
    <w:p>
      <w:pPr>
        <w:pStyle w:val="5"/>
        <w:numPr>
          <w:ilvl w:val="1"/>
          <w:numId w:val="0"/>
        </w:numPr>
        <w:rPr>
          <w:rFonts w:hint="eastAsia"/>
          <w:highlight w:val="none"/>
        </w:rPr>
      </w:pPr>
      <w:r>
        <w:rPr>
          <w:rFonts w:hint="eastAsia"/>
          <w:highlight w:val="none"/>
        </w:rPr>
        <w:t>1.10算法库</w:t>
      </w:r>
    </w:p>
    <w:p>
      <w:pPr>
        <w:pStyle w:val="7"/>
        <w:numPr>
          <w:ilvl w:val="2"/>
          <w:numId w:val="0"/>
        </w:numPr>
        <w:rPr>
          <w:rFonts w:hint="eastAsia"/>
          <w:highlight w:val="none"/>
        </w:rPr>
      </w:pPr>
      <w:r>
        <w:rPr>
          <w:rFonts w:hint="eastAsia"/>
          <w:highlight w:val="none"/>
        </w:rPr>
        <w:t>1.10.1 AI算法仓库</w:t>
      </w:r>
    </w:p>
    <w:p>
      <w:pPr>
        <w:pStyle w:val="6"/>
        <w:rPr>
          <w:highlight w:val="none"/>
        </w:rPr>
      </w:pPr>
      <w:r>
        <w:rPr>
          <w:rFonts w:hint="eastAsia"/>
          <w:highlight w:val="none"/>
        </w:rPr>
        <w:t>可对飞行画面进行AI识别并对异常现象和行为开展智能分析，支持定制各类AI场景，包含并不限于交通违法抓拍、事故现场勘查快处、特定对象智能识别等警务应用，及违规建筑巡检、违法排污巡检、烟火监测等政务应用。</w:t>
      </w:r>
    </w:p>
    <w:p>
      <w:pPr>
        <w:pStyle w:val="7"/>
        <w:numPr>
          <w:ilvl w:val="2"/>
          <w:numId w:val="0"/>
        </w:numPr>
        <w:rPr>
          <w:rFonts w:hint="eastAsia"/>
          <w:highlight w:val="none"/>
        </w:rPr>
      </w:pPr>
      <w:r>
        <w:rPr>
          <w:rFonts w:hint="eastAsia"/>
          <w:highlight w:val="none"/>
        </w:rPr>
        <w:t>1.10.2污水识别</w:t>
      </w:r>
    </w:p>
    <w:p>
      <w:pPr>
        <w:pStyle w:val="6"/>
        <w:rPr>
          <w:highlight w:val="none"/>
        </w:rPr>
      </w:pPr>
      <w:r>
        <w:rPr>
          <w:rFonts w:hint="eastAsia"/>
          <w:highlight w:val="none"/>
        </w:rPr>
        <w:t>构建丰富的污水图像数据集，涵盖不同季节和天气条件下的各种污水情景。这些数据让模型能够精确识别污水的特征，如颜色变化、形态特点等。</w:t>
      </w:r>
    </w:p>
    <w:p>
      <w:pPr>
        <w:pStyle w:val="7"/>
        <w:numPr>
          <w:ilvl w:val="2"/>
          <w:numId w:val="0"/>
        </w:numPr>
        <w:rPr>
          <w:rFonts w:hint="eastAsia"/>
          <w:highlight w:val="none"/>
        </w:rPr>
      </w:pPr>
      <w:r>
        <w:rPr>
          <w:rFonts w:hint="eastAsia"/>
          <w:highlight w:val="none"/>
        </w:rPr>
        <w:t>1.10.3 交通拥堵识别</w:t>
      </w:r>
    </w:p>
    <w:p>
      <w:pPr>
        <w:pStyle w:val="6"/>
        <w:ind w:firstLine="420" w:firstLineChars="0"/>
        <w:rPr>
          <w:highlight w:val="none"/>
        </w:rPr>
      </w:pPr>
      <w:r>
        <w:rPr>
          <w:rFonts w:hint="eastAsia"/>
          <w:highlight w:val="none"/>
        </w:rPr>
        <w:t xml:space="preserve">对驾培场所、旅游景区、货运枢纽等交通节点的交通秩序维护、交通安全设施、 </w:t>
      </w:r>
    </w:p>
    <w:p>
      <w:pPr>
        <w:pStyle w:val="6"/>
        <w:ind w:firstLine="0" w:firstLineChars="0"/>
        <w:rPr>
          <w:highlight w:val="none"/>
        </w:rPr>
      </w:pPr>
      <w:r>
        <w:rPr>
          <w:rFonts w:hint="eastAsia"/>
          <w:highlight w:val="none"/>
        </w:rPr>
        <w:t>应急设施等进行巡查。</w:t>
      </w:r>
    </w:p>
    <w:p>
      <w:pPr>
        <w:pStyle w:val="7"/>
        <w:numPr>
          <w:ilvl w:val="2"/>
          <w:numId w:val="0"/>
        </w:numPr>
        <w:rPr>
          <w:rFonts w:hint="eastAsia"/>
          <w:highlight w:val="none"/>
        </w:rPr>
      </w:pPr>
      <w:r>
        <w:rPr>
          <w:rFonts w:hint="eastAsia"/>
          <w:highlight w:val="none"/>
        </w:rPr>
        <w:t>1.10.4 游泳涉水识别</w:t>
      </w:r>
    </w:p>
    <w:p>
      <w:pPr>
        <w:pStyle w:val="6"/>
        <w:rPr>
          <w:highlight w:val="none"/>
        </w:rPr>
      </w:pPr>
      <w:r>
        <w:rPr>
          <w:rFonts w:hint="eastAsia" w:ascii="宋体" w:hAnsi="宋体"/>
          <w:szCs w:val="24"/>
          <w:highlight w:val="none"/>
        </w:rPr>
        <w:t>对指定水域进行识别，识别内容为疑似落水人员</w:t>
      </w:r>
      <w:r>
        <w:rPr>
          <w:rFonts w:hint="eastAsia"/>
          <w:highlight w:val="none"/>
        </w:rPr>
        <w:t>。</w:t>
      </w:r>
    </w:p>
    <w:p>
      <w:pPr>
        <w:pStyle w:val="7"/>
        <w:numPr>
          <w:ilvl w:val="2"/>
          <w:numId w:val="0"/>
        </w:numPr>
        <w:rPr>
          <w:rFonts w:hint="eastAsia"/>
          <w:highlight w:val="none"/>
        </w:rPr>
      </w:pPr>
      <w:r>
        <w:rPr>
          <w:rFonts w:hint="eastAsia"/>
          <w:highlight w:val="none"/>
        </w:rPr>
        <w:t>1.10.5 明火识别</w:t>
      </w:r>
    </w:p>
    <w:p>
      <w:pPr>
        <w:pStyle w:val="6"/>
        <w:rPr>
          <w:highlight w:val="none"/>
        </w:rPr>
      </w:pPr>
      <w:r>
        <w:rPr>
          <w:rFonts w:hint="eastAsia"/>
          <w:highlight w:val="none"/>
        </w:rPr>
        <w:t>无人机在空中巡检过程中，利用搭载的高清相机和热成像设备，基于深度学习的视觉识别算法，实时监测地面火点情况，及时发现并在后台报警。</w:t>
      </w:r>
    </w:p>
    <w:p>
      <w:pPr>
        <w:pStyle w:val="7"/>
        <w:numPr>
          <w:ilvl w:val="2"/>
          <w:numId w:val="0"/>
        </w:numPr>
        <w:rPr>
          <w:rFonts w:hint="eastAsia"/>
          <w:highlight w:val="none"/>
        </w:rPr>
      </w:pPr>
      <w:r>
        <w:rPr>
          <w:rFonts w:hint="eastAsia"/>
          <w:highlight w:val="none"/>
        </w:rPr>
        <w:t>1.10.6 道路积水识别</w:t>
      </w:r>
    </w:p>
    <w:p>
      <w:pPr>
        <w:pStyle w:val="6"/>
        <w:rPr>
          <w:highlight w:val="none"/>
        </w:rPr>
      </w:pPr>
      <w:r>
        <w:rPr>
          <w:rFonts w:hint="eastAsia"/>
          <w:highlight w:val="none"/>
        </w:rPr>
        <w:t>通过图像分析，检测道路（高速、国道）等路面积水情况。</w:t>
      </w:r>
    </w:p>
    <w:p>
      <w:pPr>
        <w:pStyle w:val="7"/>
        <w:numPr>
          <w:ilvl w:val="2"/>
          <w:numId w:val="0"/>
        </w:numPr>
        <w:rPr>
          <w:rFonts w:hint="eastAsia"/>
          <w:highlight w:val="none"/>
        </w:rPr>
      </w:pPr>
      <w:r>
        <w:rPr>
          <w:rFonts w:hint="eastAsia"/>
          <w:highlight w:val="none"/>
        </w:rPr>
        <w:t>1.10.7 漂浮物识别</w:t>
      </w:r>
    </w:p>
    <w:p>
      <w:pPr>
        <w:spacing w:line="360" w:lineRule="auto"/>
        <w:ind w:firstLine="420"/>
        <w:rPr>
          <w:rFonts w:ascii="Times New Roman" w:hAnsi="Times New Roman" w:cs="宋体"/>
          <w:sz w:val="24"/>
          <w:szCs w:val="20"/>
          <w:highlight w:val="none"/>
        </w:rPr>
      </w:pPr>
      <w:r>
        <w:rPr>
          <w:rFonts w:hint="eastAsia" w:ascii="Times New Roman" w:hAnsi="Times New Roman" w:cs="宋体"/>
          <w:sz w:val="24"/>
          <w:szCs w:val="20"/>
          <w:highlight w:val="none"/>
        </w:rPr>
        <w:t>巡查河道水面保洁情况，识别河道内大件漂浮垃圾及其他漂浮物等事件信息，提供事件点位现场照片及定位信息。</w:t>
      </w:r>
    </w:p>
    <w:p>
      <w:pPr>
        <w:pStyle w:val="7"/>
        <w:numPr>
          <w:ilvl w:val="2"/>
          <w:numId w:val="0"/>
        </w:numPr>
        <w:rPr>
          <w:rFonts w:hint="eastAsia"/>
          <w:highlight w:val="none"/>
        </w:rPr>
      </w:pPr>
      <w:r>
        <w:rPr>
          <w:rFonts w:hint="eastAsia"/>
          <w:highlight w:val="none"/>
        </w:rPr>
        <w:t>1.10.8 非法垂钓识别</w:t>
      </w:r>
    </w:p>
    <w:p>
      <w:pPr>
        <w:pStyle w:val="6"/>
        <w:rPr>
          <w:highlight w:val="none"/>
        </w:rPr>
      </w:pPr>
      <w:r>
        <w:rPr>
          <w:rFonts w:hint="eastAsia" w:ascii="宋体" w:hAnsi="宋体"/>
          <w:szCs w:val="24"/>
          <w:highlight w:val="none"/>
        </w:rPr>
        <w:t>针对河岸等划定的区域，使用AI进行识别是否有人钓鱼，包括疑似钓鱼的情形</w:t>
      </w:r>
      <w:r>
        <w:rPr>
          <w:rFonts w:hint="eastAsia"/>
          <w:highlight w:val="none"/>
        </w:rPr>
        <w:t>。</w:t>
      </w:r>
    </w:p>
    <w:p>
      <w:pPr>
        <w:pStyle w:val="7"/>
        <w:numPr>
          <w:ilvl w:val="2"/>
          <w:numId w:val="0"/>
        </w:numPr>
        <w:rPr>
          <w:rFonts w:hint="eastAsia"/>
          <w:highlight w:val="none"/>
        </w:rPr>
      </w:pPr>
      <w:r>
        <w:rPr>
          <w:rFonts w:hint="eastAsia"/>
          <w:highlight w:val="none"/>
        </w:rPr>
        <w:t>1.10.9 松线虫害识别</w:t>
      </w:r>
    </w:p>
    <w:p>
      <w:pPr>
        <w:pStyle w:val="6"/>
        <w:rPr>
          <w:highlight w:val="none"/>
        </w:rPr>
      </w:pPr>
      <w:r>
        <w:rPr>
          <w:rFonts w:hint="eastAsia"/>
          <w:highlight w:val="none"/>
        </w:rPr>
        <w:t>通过日常巡检影像采集和AI人工智能算法，自动识别病虫害，结合人工判断向业主发出预警，为病虫害疫情普查和防治效果提供精准的数据支持。</w:t>
      </w:r>
    </w:p>
    <w:p>
      <w:pPr>
        <w:pStyle w:val="7"/>
        <w:numPr>
          <w:ilvl w:val="2"/>
          <w:numId w:val="0"/>
        </w:numPr>
        <w:rPr>
          <w:rFonts w:hint="eastAsia"/>
          <w:highlight w:val="none"/>
        </w:rPr>
      </w:pPr>
      <w:r>
        <w:rPr>
          <w:rFonts w:hint="eastAsia"/>
          <w:highlight w:val="none"/>
        </w:rPr>
        <w:t>1.10.10 货车识别</w:t>
      </w:r>
    </w:p>
    <w:p>
      <w:pPr>
        <w:pStyle w:val="6"/>
        <w:rPr>
          <w:highlight w:val="none"/>
        </w:rPr>
      </w:pPr>
      <w:r>
        <w:rPr>
          <w:rFonts w:hint="eastAsia"/>
          <w:highlight w:val="none"/>
        </w:rPr>
        <w:t>识别工地施工作业区范围内存在常见的挖掘机、渣土车等车辆机型。</w:t>
      </w:r>
    </w:p>
    <w:p>
      <w:pPr>
        <w:pStyle w:val="7"/>
        <w:numPr>
          <w:ilvl w:val="2"/>
          <w:numId w:val="0"/>
        </w:numPr>
        <w:rPr>
          <w:rFonts w:hint="eastAsia"/>
          <w:highlight w:val="none"/>
        </w:rPr>
      </w:pPr>
      <w:r>
        <w:rPr>
          <w:rFonts w:hint="eastAsia"/>
          <w:highlight w:val="none"/>
        </w:rPr>
        <w:t>1.10.11 车牌识别</w:t>
      </w:r>
    </w:p>
    <w:p>
      <w:pPr>
        <w:pStyle w:val="6"/>
        <w:rPr>
          <w:highlight w:val="none"/>
        </w:rPr>
      </w:pPr>
      <w:r>
        <w:rPr>
          <w:rFonts w:hint="eastAsia"/>
          <w:highlight w:val="none"/>
        </w:rPr>
        <w:t>识别行进车辆的车牌内容，获取车牌号码，车牌数字清晰可见，没有模糊遮挡。</w:t>
      </w:r>
    </w:p>
    <w:p>
      <w:pPr>
        <w:pStyle w:val="7"/>
        <w:numPr>
          <w:ilvl w:val="2"/>
          <w:numId w:val="0"/>
        </w:numPr>
        <w:rPr>
          <w:rFonts w:hint="eastAsia"/>
          <w:highlight w:val="none"/>
        </w:rPr>
      </w:pPr>
      <w:r>
        <w:rPr>
          <w:rFonts w:hint="eastAsia"/>
          <w:highlight w:val="none"/>
        </w:rPr>
        <w:t>1.10.12 拉横幅告示识别</w:t>
      </w:r>
    </w:p>
    <w:p>
      <w:pPr>
        <w:pStyle w:val="6"/>
        <w:rPr>
          <w:highlight w:val="none"/>
        </w:rPr>
      </w:pPr>
      <w:r>
        <w:rPr>
          <w:rFonts w:hint="eastAsia" w:ascii="宋体" w:hAnsi="宋体"/>
          <w:szCs w:val="24"/>
          <w:highlight w:val="none"/>
        </w:rPr>
        <w:t>针对无人机飞行的区域，使用AI进行识别是否有违规挂横幅的现象，识别后并统计数量</w:t>
      </w:r>
      <w:r>
        <w:rPr>
          <w:rFonts w:hint="eastAsia"/>
          <w:highlight w:val="none"/>
        </w:rPr>
        <w:t>。</w:t>
      </w:r>
    </w:p>
    <w:p>
      <w:pPr>
        <w:pStyle w:val="7"/>
        <w:numPr>
          <w:ilvl w:val="2"/>
          <w:numId w:val="0"/>
        </w:numPr>
        <w:rPr>
          <w:rFonts w:hint="eastAsia"/>
          <w:highlight w:val="none"/>
        </w:rPr>
      </w:pPr>
      <w:r>
        <w:rPr>
          <w:rFonts w:hint="eastAsia"/>
          <w:highlight w:val="none"/>
        </w:rPr>
        <w:t>1.10.13 道路缺陷识别</w:t>
      </w:r>
    </w:p>
    <w:p>
      <w:pPr>
        <w:pStyle w:val="6"/>
        <w:rPr>
          <w:highlight w:val="none"/>
        </w:rPr>
      </w:pPr>
      <w:r>
        <w:rPr>
          <w:rFonts w:hint="eastAsia"/>
          <w:highlight w:val="none"/>
        </w:rPr>
        <w:t>监测路况变化，如道路老化、施工破坏、坑洼凹陷等，即时发现交通隐患，提升交通。</w:t>
      </w:r>
    </w:p>
    <w:p>
      <w:pPr>
        <w:pStyle w:val="7"/>
        <w:numPr>
          <w:ilvl w:val="2"/>
          <w:numId w:val="0"/>
        </w:numPr>
        <w:rPr>
          <w:rFonts w:hint="eastAsia"/>
          <w:highlight w:val="none"/>
        </w:rPr>
      </w:pPr>
      <w:r>
        <w:rPr>
          <w:rFonts w:hint="eastAsia"/>
          <w:highlight w:val="none"/>
        </w:rPr>
        <w:t>1.10.14 人群聚集识别</w:t>
      </w:r>
    </w:p>
    <w:p>
      <w:pPr>
        <w:pStyle w:val="6"/>
        <w:rPr>
          <w:highlight w:val="none"/>
        </w:rPr>
      </w:pPr>
      <w:r>
        <w:rPr>
          <w:rFonts w:hint="eastAsia" w:ascii="宋体" w:hAnsi="宋体"/>
          <w:szCs w:val="24"/>
          <w:highlight w:val="none"/>
        </w:rPr>
        <w:t>针对无人机对指定区域识别出目标密集人群进行识别</w:t>
      </w:r>
      <w:r>
        <w:rPr>
          <w:rFonts w:hint="eastAsia"/>
          <w:highlight w:val="none"/>
        </w:rPr>
        <w:t>。</w:t>
      </w:r>
      <w:r>
        <w:rPr>
          <w:rFonts w:hint="eastAsia" w:ascii="宋体" w:hAnsi="宋体"/>
          <w:szCs w:val="24"/>
          <w:highlight w:val="none"/>
        </w:rPr>
        <w:t>系统同时集成智能告警机制，可基于识别出的目标统计数的阈值等条件，实时触发预警。</w:t>
      </w:r>
    </w:p>
    <w:p>
      <w:pPr>
        <w:pStyle w:val="7"/>
        <w:numPr>
          <w:ilvl w:val="2"/>
          <w:numId w:val="0"/>
        </w:numPr>
        <w:rPr>
          <w:rFonts w:hint="eastAsia"/>
          <w:highlight w:val="none"/>
        </w:rPr>
      </w:pPr>
      <w:r>
        <w:rPr>
          <w:rFonts w:hint="eastAsia"/>
          <w:highlight w:val="none"/>
        </w:rPr>
        <w:t>1.10.15 流浪狗识别</w:t>
      </w:r>
    </w:p>
    <w:p>
      <w:pPr>
        <w:pStyle w:val="6"/>
        <w:rPr>
          <w:highlight w:val="none"/>
        </w:rPr>
      </w:pPr>
      <w:r>
        <w:rPr>
          <w:rFonts w:hint="eastAsia"/>
          <w:highlight w:val="none"/>
        </w:rPr>
        <w:t>识别存在狗但周边一定距离内没有人员的情形。</w:t>
      </w:r>
    </w:p>
    <w:p>
      <w:pPr>
        <w:pStyle w:val="7"/>
        <w:numPr>
          <w:ilvl w:val="2"/>
          <w:numId w:val="0"/>
        </w:numPr>
        <w:rPr>
          <w:rFonts w:hint="eastAsia"/>
          <w:highlight w:val="none"/>
        </w:rPr>
      </w:pPr>
      <w:r>
        <w:rPr>
          <w:rFonts w:hint="eastAsia"/>
          <w:highlight w:val="none"/>
        </w:rPr>
        <w:t>1.10.16 裸土未覆盖识别</w:t>
      </w:r>
    </w:p>
    <w:p>
      <w:pPr>
        <w:tabs>
          <w:tab w:val="left" w:pos="0"/>
        </w:tabs>
        <w:spacing w:line="360" w:lineRule="auto"/>
        <w:ind w:firstLine="480" w:firstLineChars="200"/>
        <w:rPr>
          <w:highlight w:val="none"/>
        </w:rPr>
      </w:pPr>
      <w:r>
        <w:rPr>
          <w:rFonts w:hint="eastAsia" w:ascii="宋体" w:hAnsi="宋体" w:cs="宋体"/>
          <w:bCs/>
          <w:kern w:val="0"/>
          <w:sz w:val="24"/>
          <w:highlight w:val="none"/>
        </w:rPr>
        <w:t>对重点巡检范围进行覆盖式巡查，对裸土未覆盖现象进行识别和告警</w:t>
      </w:r>
      <w:r>
        <w:rPr>
          <w:rFonts w:hint="eastAsia"/>
          <w:highlight w:val="none"/>
        </w:rPr>
        <w:t>。</w:t>
      </w:r>
    </w:p>
    <w:p>
      <w:pPr>
        <w:pStyle w:val="7"/>
        <w:numPr>
          <w:ilvl w:val="2"/>
          <w:numId w:val="0"/>
        </w:numPr>
        <w:rPr>
          <w:rFonts w:hint="eastAsia"/>
          <w:highlight w:val="none"/>
        </w:rPr>
      </w:pPr>
      <w:r>
        <w:rPr>
          <w:rFonts w:hint="eastAsia"/>
          <w:highlight w:val="none"/>
        </w:rPr>
        <w:t>1.10.17 建控区违建识别</w:t>
      </w:r>
    </w:p>
    <w:p>
      <w:pPr>
        <w:pStyle w:val="6"/>
        <w:rPr>
          <w:highlight w:val="none"/>
        </w:rPr>
      </w:pPr>
      <w:r>
        <w:rPr>
          <w:rFonts w:hint="eastAsia"/>
          <w:highlight w:val="none"/>
        </w:rPr>
        <w:t>识别建控区违章建筑等。</w:t>
      </w:r>
    </w:p>
    <w:p>
      <w:pPr>
        <w:pStyle w:val="7"/>
        <w:numPr>
          <w:ilvl w:val="2"/>
          <w:numId w:val="0"/>
        </w:numPr>
        <w:rPr>
          <w:rFonts w:hint="eastAsia"/>
          <w:highlight w:val="none"/>
        </w:rPr>
      </w:pPr>
      <w:r>
        <w:rPr>
          <w:rFonts w:hint="eastAsia"/>
          <w:highlight w:val="none"/>
        </w:rPr>
        <w:t>1.10.18 固废垃圾堆放识别</w:t>
      </w:r>
    </w:p>
    <w:p>
      <w:pPr>
        <w:pStyle w:val="6"/>
        <w:rPr>
          <w:highlight w:val="none"/>
        </w:rPr>
      </w:pPr>
      <w:r>
        <w:rPr>
          <w:rFonts w:hint="eastAsia" w:ascii="宋体" w:hAnsi="宋体"/>
          <w:szCs w:val="24"/>
          <w:highlight w:val="none"/>
        </w:rPr>
        <w:t>针对无人机飞行的区域，使用AI进行识别，识别类型包含建筑垃圾，垃圾堆识别后并统计数量，可以按照分类统计也可以给出统计总数。</w:t>
      </w:r>
    </w:p>
    <w:p>
      <w:pPr>
        <w:pStyle w:val="7"/>
        <w:numPr>
          <w:ilvl w:val="2"/>
          <w:numId w:val="0"/>
        </w:numPr>
        <w:rPr>
          <w:rFonts w:hint="eastAsia"/>
          <w:highlight w:val="none"/>
        </w:rPr>
      </w:pPr>
      <w:r>
        <w:rPr>
          <w:rFonts w:hint="eastAsia"/>
          <w:highlight w:val="none"/>
        </w:rPr>
        <w:t>1.10.19 安全帽未佩戴识别</w:t>
      </w:r>
    </w:p>
    <w:p>
      <w:pPr>
        <w:pStyle w:val="6"/>
        <w:rPr>
          <w:highlight w:val="none"/>
        </w:rPr>
      </w:pPr>
      <w:r>
        <w:rPr>
          <w:rFonts w:hint="eastAsia" w:ascii="宋体" w:hAnsi="宋体"/>
          <w:szCs w:val="24"/>
          <w:highlight w:val="none"/>
        </w:rPr>
        <w:t>针对无人机飞行的施工场所区域，使用AI进行识别佩戴安全帽和没佩戴人员，识别后并统计没佩戴安全帽人员数量。</w:t>
      </w:r>
    </w:p>
    <w:p>
      <w:pPr>
        <w:pStyle w:val="7"/>
        <w:numPr>
          <w:ilvl w:val="2"/>
          <w:numId w:val="0"/>
        </w:numPr>
        <w:rPr>
          <w:rFonts w:hint="eastAsia"/>
          <w:highlight w:val="none"/>
        </w:rPr>
      </w:pPr>
      <w:r>
        <w:rPr>
          <w:rFonts w:hint="eastAsia"/>
          <w:highlight w:val="none"/>
        </w:rPr>
        <w:t>1.10.20 绿化病害识别</w:t>
      </w:r>
    </w:p>
    <w:p>
      <w:pPr>
        <w:pStyle w:val="6"/>
        <w:rPr>
          <w:highlight w:val="none"/>
        </w:rPr>
      </w:pPr>
      <w:r>
        <w:rPr>
          <w:rFonts w:hint="eastAsia"/>
          <w:highlight w:val="none"/>
        </w:rPr>
        <w:t>识别乡镇国道周边树木、灌木、花卉出现裸土；发黄、发黑、枯死场景；城区绿化带出现裸土；发黄、发黑、枯死场景。</w:t>
      </w:r>
    </w:p>
    <w:p>
      <w:pPr>
        <w:pStyle w:val="7"/>
        <w:numPr>
          <w:ilvl w:val="2"/>
          <w:numId w:val="0"/>
        </w:numPr>
        <w:rPr>
          <w:rFonts w:hint="eastAsia"/>
          <w:highlight w:val="none"/>
        </w:rPr>
      </w:pPr>
      <w:r>
        <w:rPr>
          <w:rFonts w:hint="eastAsia"/>
          <w:highlight w:val="none"/>
        </w:rPr>
        <w:t>1.10.21 水面违规搭建识别</w:t>
      </w:r>
    </w:p>
    <w:p>
      <w:pPr>
        <w:pStyle w:val="6"/>
        <w:rPr>
          <w:highlight w:val="none"/>
        </w:rPr>
      </w:pPr>
      <w:r>
        <w:rPr>
          <w:rFonts w:hint="eastAsia" w:ascii="宋体" w:hAnsi="宋体"/>
          <w:color w:val="000000"/>
          <w:kern w:val="0"/>
          <w:szCs w:val="21"/>
          <w:highlight w:val="none"/>
          <w:lang w:bidi="ar"/>
        </w:rPr>
        <w:t>侵占水域问题巡查取证，如非法填河、建筑物侵占河道等，并对巡查到的违法建筑物进行影像拍摄并且标注其概要地理位置。</w:t>
      </w:r>
    </w:p>
    <w:p>
      <w:pPr>
        <w:pStyle w:val="7"/>
        <w:numPr>
          <w:ilvl w:val="2"/>
          <w:numId w:val="0"/>
        </w:numPr>
        <w:rPr>
          <w:rFonts w:hint="eastAsia"/>
          <w:highlight w:val="none"/>
        </w:rPr>
      </w:pPr>
      <w:r>
        <w:rPr>
          <w:rFonts w:hint="eastAsia"/>
          <w:highlight w:val="none"/>
        </w:rPr>
        <w:t>1.10.22 烟雾识别</w:t>
      </w:r>
    </w:p>
    <w:p>
      <w:pPr>
        <w:pStyle w:val="6"/>
        <w:rPr>
          <w:highlight w:val="none"/>
        </w:rPr>
      </w:pPr>
      <w:r>
        <w:rPr>
          <w:rFonts w:hint="eastAsia" w:ascii="宋体" w:hAnsi="宋体"/>
          <w:szCs w:val="24"/>
          <w:highlight w:val="none"/>
        </w:rPr>
        <w:t>针对无人机飞行的区域，使用AI进行识别，识别类型包含烟和火等，识别后并统计数量，可以按照分类统计也可以给出统计总数。</w:t>
      </w:r>
    </w:p>
    <w:p>
      <w:pPr>
        <w:pStyle w:val="7"/>
        <w:numPr>
          <w:ilvl w:val="2"/>
          <w:numId w:val="0"/>
        </w:numPr>
        <w:rPr>
          <w:rFonts w:hint="eastAsia"/>
          <w:highlight w:val="none"/>
        </w:rPr>
      </w:pPr>
      <w:r>
        <w:rPr>
          <w:rFonts w:hint="eastAsia"/>
          <w:highlight w:val="none"/>
        </w:rPr>
        <w:t>1.10.23 秸秆焚烧</w:t>
      </w:r>
    </w:p>
    <w:p>
      <w:pPr>
        <w:pStyle w:val="6"/>
        <w:rPr>
          <w:highlight w:val="none"/>
        </w:rPr>
      </w:pPr>
      <w:r>
        <w:rPr>
          <w:rFonts w:hint="eastAsia"/>
          <w:highlight w:val="none"/>
        </w:rPr>
        <w:t>在农业区上空巡逻，结合了烟雾检测和火焰识别技术，通过大量焚烧现场的数据进行训练，能够准确识别秸秆焚烧行为。</w:t>
      </w:r>
    </w:p>
    <w:p>
      <w:pPr>
        <w:pStyle w:val="7"/>
        <w:numPr>
          <w:ilvl w:val="2"/>
          <w:numId w:val="0"/>
        </w:numPr>
        <w:rPr>
          <w:rFonts w:hint="eastAsia"/>
          <w:highlight w:val="none"/>
        </w:rPr>
      </w:pPr>
      <w:r>
        <w:rPr>
          <w:rFonts w:hint="eastAsia"/>
          <w:highlight w:val="none"/>
        </w:rPr>
        <w:t>1.10.24 光伏板破损识别</w:t>
      </w:r>
    </w:p>
    <w:p>
      <w:pPr>
        <w:pStyle w:val="6"/>
        <w:rPr>
          <w:highlight w:val="none"/>
        </w:rPr>
      </w:pPr>
      <w:r>
        <w:rPr>
          <w:rFonts w:hint="eastAsia"/>
          <w:highlight w:val="none"/>
        </w:rPr>
        <w:t>识别光伏板面是否存在有表面的污渍、破损、裂纹或遮挡物等情况。</w:t>
      </w:r>
    </w:p>
    <w:p>
      <w:pPr>
        <w:pStyle w:val="7"/>
        <w:numPr>
          <w:ilvl w:val="2"/>
          <w:numId w:val="0"/>
        </w:numPr>
        <w:rPr>
          <w:rFonts w:hint="eastAsia"/>
          <w:highlight w:val="none"/>
        </w:rPr>
      </w:pPr>
      <w:r>
        <w:rPr>
          <w:rFonts w:hint="eastAsia"/>
          <w:highlight w:val="none"/>
        </w:rPr>
        <w:t>1.10.25 图片对比算法</w:t>
      </w:r>
    </w:p>
    <w:p>
      <w:pPr>
        <w:pStyle w:val="6"/>
        <w:rPr>
          <w:highlight w:val="none"/>
        </w:rPr>
      </w:pPr>
      <w:r>
        <w:rPr>
          <w:rFonts w:hint="eastAsia"/>
          <w:highlight w:val="none"/>
        </w:rPr>
        <w:t>通过比较两张或更多张图片之间的差异，能够检测出场景的变化，适用于监控、安全检查等领域。</w:t>
      </w:r>
    </w:p>
    <w:p>
      <w:pPr>
        <w:pStyle w:val="7"/>
        <w:numPr>
          <w:ilvl w:val="2"/>
          <w:numId w:val="0"/>
        </w:numPr>
        <w:rPr>
          <w:rFonts w:hint="eastAsia"/>
          <w:highlight w:val="none"/>
        </w:rPr>
      </w:pPr>
      <w:r>
        <w:rPr>
          <w:rFonts w:hint="eastAsia"/>
          <w:highlight w:val="none"/>
        </w:rPr>
        <w:t>1.10.26 排水渠堵塞</w:t>
      </w:r>
    </w:p>
    <w:p>
      <w:pPr>
        <w:pStyle w:val="6"/>
        <w:rPr>
          <w:highlight w:val="none"/>
        </w:rPr>
      </w:pPr>
      <w:r>
        <w:rPr>
          <w:rFonts w:hint="eastAsia"/>
          <w:highlight w:val="none"/>
        </w:rPr>
        <w:t>识别道路旁排水渠中出现垃圾、大量树枝造成堵塞的情况。</w:t>
      </w:r>
    </w:p>
    <w:p>
      <w:pPr>
        <w:pStyle w:val="7"/>
        <w:numPr>
          <w:ilvl w:val="2"/>
          <w:numId w:val="0"/>
        </w:numPr>
        <w:rPr>
          <w:rFonts w:hint="eastAsia"/>
          <w:highlight w:val="none"/>
        </w:rPr>
      </w:pPr>
      <w:r>
        <w:rPr>
          <w:rFonts w:hint="eastAsia"/>
          <w:highlight w:val="none"/>
        </w:rPr>
        <w:t>1.10.27 桥墩垃圾识别</w:t>
      </w:r>
    </w:p>
    <w:p>
      <w:pPr>
        <w:pStyle w:val="6"/>
        <w:rPr>
          <w:highlight w:val="none"/>
        </w:rPr>
      </w:pPr>
      <w:r>
        <w:rPr>
          <w:rFonts w:hint="eastAsia"/>
          <w:highlight w:val="none"/>
        </w:rPr>
        <w:t>进行桥墩下垃圾堆放识别。</w:t>
      </w:r>
    </w:p>
    <w:p>
      <w:pPr>
        <w:pStyle w:val="7"/>
        <w:numPr>
          <w:ilvl w:val="2"/>
          <w:numId w:val="0"/>
        </w:numPr>
        <w:rPr>
          <w:rFonts w:hint="eastAsia"/>
          <w:highlight w:val="none"/>
        </w:rPr>
      </w:pPr>
      <w:r>
        <w:rPr>
          <w:rFonts w:hint="eastAsia"/>
          <w:highlight w:val="none"/>
        </w:rPr>
        <w:t>1.10.28 车辆识别</w:t>
      </w:r>
    </w:p>
    <w:p>
      <w:pPr>
        <w:pStyle w:val="6"/>
        <w:rPr>
          <w:highlight w:val="none"/>
        </w:rPr>
      </w:pPr>
      <w:r>
        <w:rPr>
          <w:rFonts w:hint="eastAsia"/>
          <w:highlight w:val="none"/>
        </w:rPr>
        <w:t>进行小型车辆、公交车、货车进行分类统计识别。识别目标:画面中电动车、小型车辆、面包车、公交车、货车进行不同颜色标识。</w:t>
      </w:r>
    </w:p>
    <w:p>
      <w:pPr>
        <w:pStyle w:val="7"/>
        <w:numPr>
          <w:ilvl w:val="2"/>
          <w:numId w:val="0"/>
        </w:numPr>
        <w:rPr>
          <w:rFonts w:hint="eastAsia"/>
          <w:highlight w:val="none"/>
        </w:rPr>
      </w:pPr>
      <w:r>
        <w:rPr>
          <w:rFonts w:hint="eastAsia"/>
          <w:highlight w:val="none"/>
        </w:rPr>
        <w:t>1.10.29 车辆违停</w:t>
      </w:r>
    </w:p>
    <w:p>
      <w:pPr>
        <w:pStyle w:val="6"/>
        <w:rPr>
          <w:highlight w:val="none"/>
        </w:rPr>
      </w:pPr>
      <w:r>
        <w:rPr>
          <w:rFonts w:hint="eastAsia"/>
          <w:highlight w:val="none"/>
        </w:rPr>
        <w:t>进行道路旁未停放在规定停放区域的机动车和非机动车进行识别。识别目标:无人骑乘的非机动车包括机动车进行识别、无人骑乘的非机动车包括电动两轮和电动三轮车进行识别。</w:t>
      </w:r>
    </w:p>
    <w:p>
      <w:pPr>
        <w:pStyle w:val="7"/>
        <w:numPr>
          <w:ilvl w:val="2"/>
          <w:numId w:val="0"/>
        </w:numPr>
        <w:rPr>
          <w:rFonts w:hint="eastAsia"/>
          <w:highlight w:val="none"/>
        </w:rPr>
      </w:pPr>
      <w:r>
        <w:rPr>
          <w:rFonts w:hint="eastAsia"/>
          <w:highlight w:val="none"/>
        </w:rPr>
        <w:t>1.10.30 流动摊贩识别</w:t>
      </w:r>
    </w:p>
    <w:p>
      <w:pPr>
        <w:pStyle w:val="9"/>
        <w:rPr>
          <w:highlight w:val="none"/>
        </w:rPr>
      </w:pPr>
      <w:r>
        <w:rPr>
          <w:rFonts w:hint="eastAsia"/>
          <w:highlight w:val="none"/>
        </w:rPr>
        <w:t>进行道路旁边进行摆摊情况识别，识别目标:道路旁边人员摆摊、大型遮阳伞等识别目标进行识别。</w:t>
      </w:r>
    </w:p>
    <w:p>
      <w:pPr>
        <w:rPr>
          <w:rFonts w:hint="eastAsia" w:ascii="仿宋_GB2312" w:hAnsi="仿宋_GB2312" w:eastAsia="仿宋_GB2312" w:cs="仿宋_GB2312"/>
          <w:sz w:val="24"/>
          <w:highlight w:val="none"/>
        </w:rPr>
      </w:pPr>
    </w:p>
    <w:bookmarkEnd w:id="0"/>
    <w:bookmarkEnd w:id="1"/>
    <w:bookmarkEnd w:id="2"/>
    <w:bookmarkEnd w:id="3"/>
    <w:bookmarkEnd w:id="223"/>
    <w:p>
      <w:pPr>
        <w:numPr>
          <w:ilvl w:val="255"/>
          <w:numId w:val="0"/>
        </w:numPr>
        <w:rPr>
          <w:rFonts w:hint="eastAsia" w:ascii="仿宋_GB2312" w:hAnsi="仿宋_GB2312" w:eastAsia="仿宋_GB2312" w:cs="仿宋_GB2312"/>
          <w:sz w:val="24"/>
          <w:highlight w:val="none"/>
        </w:rPr>
      </w:pPr>
    </w:p>
    <w:sectPr>
      <w:headerReference r:id="rId11" w:type="default"/>
      <w:footerReference r:id="rId12" w:type="default"/>
      <w:pgSz w:w="11906" w:h="16838"/>
      <w:pgMar w:top="1418" w:right="1418" w:bottom="1418" w:left="1418" w:header="851" w:footer="96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ヒラギノ角ゴ Pro W3">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3"/>
      <w:rPr>
        <w:rStyle w:val="23"/>
      </w:rPr>
    </w:pPr>
    <w:r>
      <w:fldChar w:fldCharType="begin"/>
    </w:r>
    <w:r>
      <w:rPr>
        <w:rStyle w:val="23"/>
      </w:rPr>
      <w:instrText xml:space="preserve">PAGE  </w:instrText>
    </w:r>
    <w:r>
      <w:fldChar w:fldCharType="end"/>
    </w:r>
  </w:p>
  <w:p>
    <w:pPr>
      <w:pStyle w:val="1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75</w:t>
    </w:r>
    <w:r>
      <w:fldChar w:fldCharType="end"/>
    </w:r>
  </w:p>
  <w:p>
    <w:pPr>
      <w:pStyle w:val="29"/>
      <w:tabs>
        <w:tab w:val="left" w:pos="8400"/>
        <w:tab w:val="left" w:pos="8820"/>
      </w:tabs>
      <w:ind w:right="90"/>
      <w:jc w:val="right"/>
      <w:rPr>
        <w:rFonts w:eastAsia="Times New Roman"/>
        <w:color w:val="auto"/>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sz w:val="28"/>
        <w:szCs w:val="40"/>
      </w:rPr>
    </w:pPr>
    <w:r>
      <w:rPr>
        <w:rFonts w:hint="eastAsia"/>
        <w:sz w:val="28"/>
        <w:szCs w:val="40"/>
      </w:rPr>
      <w:t>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sz w:val="28"/>
        <w:szCs w:val="40"/>
      </w:rPr>
    </w:pPr>
    <w:r>
      <w:rPr>
        <w:rFonts w:hint="eastAsia"/>
        <w:sz w:val="28"/>
        <w:szCs w:val="40"/>
      </w:rPr>
      <w:t>项目编号：</w:t>
    </w:r>
  </w:p>
  <w:p>
    <w:pPr>
      <w:pStyle w:val="2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8B505"/>
    <w:multiLevelType w:val="singleLevel"/>
    <w:tmpl w:val="9FE8B505"/>
    <w:lvl w:ilvl="0" w:tentative="0">
      <w:start w:val="1"/>
      <w:numFmt w:val="chineseCounting"/>
      <w:suff w:val="nothing"/>
      <w:lvlText w:val="%1、"/>
      <w:lvlJc w:val="left"/>
      <w:pPr>
        <w:ind w:left="210"/>
      </w:pPr>
      <w:rPr>
        <w:rFonts w:hint="eastAsia"/>
      </w:rPr>
    </w:lvl>
  </w:abstractNum>
  <w:abstractNum w:abstractNumId="1">
    <w:nsid w:val="AD1B8879"/>
    <w:multiLevelType w:val="singleLevel"/>
    <w:tmpl w:val="AD1B8879"/>
    <w:lvl w:ilvl="0" w:tentative="0">
      <w:start w:val="5"/>
      <w:numFmt w:val="chineseCounting"/>
      <w:suff w:val="space"/>
      <w:lvlText w:val="第%1章"/>
      <w:lvlJc w:val="left"/>
      <w:rPr>
        <w:rFonts w:hint="eastAsia"/>
      </w:rPr>
    </w:lvl>
  </w:abstractNum>
  <w:abstractNum w:abstractNumId="2">
    <w:nsid w:val="D5688568"/>
    <w:multiLevelType w:val="singleLevel"/>
    <w:tmpl w:val="D5688568"/>
    <w:lvl w:ilvl="0" w:tentative="0">
      <w:start w:val="1"/>
      <w:numFmt w:val="decimal"/>
      <w:suff w:val="space"/>
      <w:lvlText w:val="%1."/>
      <w:lvlJc w:val="left"/>
    </w:lvl>
  </w:abstractNum>
  <w:abstractNum w:abstractNumId="3">
    <w:nsid w:val="EB623AAB"/>
    <w:multiLevelType w:val="singleLevel"/>
    <w:tmpl w:val="EB623AAB"/>
    <w:lvl w:ilvl="0" w:tentative="0">
      <w:start w:val="1"/>
      <w:numFmt w:val="chineseCounting"/>
      <w:suff w:val="nothing"/>
      <w:lvlText w:val="（%1）"/>
      <w:lvlJc w:val="left"/>
      <w:pPr>
        <w:ind w:left="0" w:firstLine="420"/>
      </w:pPr>
      <w:rPr>
        <w:rFonts w:hint="eastAsia"/>
      </w:rPr>
    </w:lvl>
  </w:abstractNum>
  <w:abstractNum w:abstractNumId="4">
    <w:nsid w:val="F4582A6B"/>
    <w:multiLevelType w:val="multilevel"/>
    <w:tmpl w:val="F4582A6B"/>
    <w:lvl w:ilvl="0" w:tentative="0">
      <w:start w:val="1"/>
      <w:numFmt w:val="decimal"/>
      <w:lvlText w:val="%1."/>
      <w:lvlJc w:val="left"/>
      <w:pPr>
        <w:ind w:left="360" w:hanging="360"/>
      </w:pPr>
      <w:rPr>
        <w:rFonts w:hint="default"/>
      </w:rPr>
    </w:lvl>
    <w:lvl w:ilvl="1" w:tentative="0">
      <w:start w:val="1"/>
      <w:numFmt w:val="decimal"/>
      <w:isLgl/>
      <w:lvlText w:val="%1.%2"/>
      <w:lvlJc w:val="left"/>
      <w:pPr>
        <w:ind w:left="633" w:hanging="633"/>
      </w:pPr>
      <w:rPr>
        <w:rFonts w:hint="default"/>
      </w:rPr>
    </w:lvl>
    <w:lvl w:ilvl="2" w:tentative="0">
      <w:start w:val="1"/>
      <w:numFmt w:val="decimal"/>
      <w:isLgl/>
      <w:lvlText w:val="%1.%2.%3"/>
      <w:lvlJc w:val="left"/>
      <w:pPr>
        <w:ind w:left="0" w:firstLine="82"/>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5">
    <w:nsid w:val="00000004"/>
    <w:multiLevelType w:val="multilevel"/>
    <w:tmpl w:val="00000004"/>
    <w:lvl w:ilvl="0" w:tentative="0">
      <w:start w:val="4"/>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05"/>
    <w:multiLevelType w:val="multilevel"/>
    <w:tmpl w:val="00000005"/>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7">
    <w:nsid w:val="00000006"/>
    <w:multiLevelType w:val="multilevel"/>
    <w:tmpl w:val="00000006"/>
    <w:lvl w:ilvl="0" w:tentative="0">
      <w:start w:val="1"/>
      <w:numFmt w:val="decimal"/>
      <w:lvlText w:val="(%1)"/>
      <w:lvlJc w:val="left"/>
      <w:pPr>
        <w:ind w:left="1365" w:hanging="405"/>
      </w:pPr>
      <w:rPr>
        <w:rFonts w:ascii="仿宋_GB2312" w:hAnsi="宋体" w:eastAsia="仿宋_GB2312" w:cs="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00000009"/>
    <w:multiLevelType w:val="multilevel"/>
    <w:tmpl w:val="0000000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9">
    <w:nsid w:val="0000000B"/>
    <w:multiLevelType w:val="multilevel"/>
    <w:tmpl w:val="0000000B"/>
    <w:lvl w:ilvl="0" w:tentative="0">
      <w:start w:val="1"/>
      <w:numFmt w:val="decimal"/>
      <w:lvlText w:val="%1."/>
      <w:lvlJc w:val="left"/>
      <w:pPr>
        <w:ind w:left="704" w:hanging="420"/>
      </w:pPr>
      <w:rPr>
        <w:rFonts w:hint="eastAsia"/>
      </w:rPr>
    </w:lvl>
    <w:lvl w:ilvl="1" w:tentative="0">
      <w:start w:val="1"/>
      <w:numFmt w:val="decimal"/>
      <w:isLgl/>
      <w:lvlText w:val="%1.%2"/>
      <w:lvlJc w:val="left"/>
      <w:pPr>
        <w:ind w:left="1145" w:hanging="720"/>
      </w:pPr>
      <w:rPr>
        <w:rFonts w:hint="default"/>
      </w:rPr>
    </w:lvl>
    <w:lvl w:ilvl="2" w:tentative="0">
      <w:start w:val="1"/>
      <w:numFmt w:val="decimal"/>
      <w:isLgl/>
      <w:lvlText w:val="%1.%2.%3"/>
      <w:lvlJc w:val="left"/>
      <w:pPr>
        <w:ind w:left="1286" w:hanging="720"/>
      </w:pPr>
      <w:rPr>
        <w:rFonts w:hint="default"/>
      </w:rPr>
    </w:lvl>
    <w:lvl w:ilvl="3" w:tentative="0">
      <w:start w:val="1"/>
      <w:numFmt w:val="decimal"/>
      <w:isLgl/>
      <w:lvlText w:val="%1.%2.%3.%4"/>
      <w:lvlJc w:val="left"/>
      <w:pPr>
        <w:ind w:left="1787" w:hanging="1080"/>
      </w:pPr>
      <w:rPr>
        <w:rFonts w:hint="default"/>
      </w:rPr>
    </w:lvl>
    <w:lvl w:ilvl="4" w:tentative="0">
      <w:start w:val="1"/>
      <w:numFmt w:val="decimal"/>
      <w:isLgl/>
      <w:lvlText w:val="%1.%2.%3.%4.%5"/>
      <w:lvlJc w:val="left"/>
      <w:pPr>
        <w:ind w:left="2288" w:hanging="1440"/>
      </w:pPr>
      <w:rPr>
        <w:rFonts w:hint="default"/>
      </w:rPr>
    </w:lvl>
    <w:lvl w:ilvl="5" w:tentative="0">
      <w:start w:val="1"/>
      <w:numFmt w:val="decimal"/>
      <w:isLgl/>
      <w:lvlText w:val="%1.%2.%3.%4.%5.%6"/>
      <w:lvlJc w:val="left"/>
      <w:pPr>
        <w:ind w:left="2429" w:hanging="1440"/>
      </w:pPr>
      <w:rPr>
        <w:rFonts w:hint="default"/>
      </w:rPr>
    </w:lvl>
    <w:lvl w:ilvl="6" w:tentative="0">
      <w:start w:val="1"/>
      <w:numFmt w:val="decimal"/>
      <w:isLgl/>
      <w:lvlText w:val="%1.%2.%3.%4.%5.%6.%7"/>
      <w:lvlJc w:val="left"/>
      <w:pPr>
        <w:ind w:left="2930" w:hanging="1800"/>
      </w:pPr>
      <w:rPr>
        <w:rFonts w:hint="default"/>
      </w:rPr>
    </w:lvl>
    <w:lvl w:ilvl="7" w:tentative="0">
      <w:start w:val="1"/>
      <w:numFmt w:val="decimal"/>
      <w:isLgl/>
      <w:lvlText w:val="%1.%2.%3.%4.%5.%6.%7.%8"/>
      <w:lvlJc w:val="left"/>
      <w:pPr>
        <w:ind w:left="3431" w:hanging="2160"/>
      </w:pPr>
      <w:rPr>
        <w:rFonts w:hint="default"/>
      </w:rPr>
    </w:lvl>
    <w:lvl w:ilvl="8" w:tentative="0">
      <w:start w:val="1"/>
      <w:numFmt w:val="decimal"/>
      <w:isLgl/>
      <w:lvlText w:val="%1.%2.%3.%4.%5.%6.%7.%8.%9"/>
      <w:lvlJc w:val="left"/>
      <w:pPr>
        <w:ind w:left="3572" w:hanging="2160"/>
      </w:pPr>
      <w:rPr>
        <w:rFonts w:hint="default"/>
      </w:rPr>
    </w:lvl>
  </w:abstractNum>
  <w:abstractNum w:abstractNumId="10">
    <w:nsid w:val="00000012"/>
    <w:multiLevelType w:val="multilevel"/>
    <w:tmpl w:val="00000012"/>
    <w:lvl w:ilvl="0" w:tentative="0">
      <w:start w:val="1"/>
      <w:numFmt w:val="decimal"/>
      <w:lvlText w:val="%1."/>
      <w:lvlJc w:val="left"/>
      <w:pPr>
        <w:tabs>
          <w:tab w:val="left" w:pos="567"/>
        </w:tabs>
        <w:ind w:left="635" w:hanging="425"/>
      </w:pPr>
      <w:rPr>
        <w:rFonts w:hint="eastAsia"/>
        <w:i w:val="0"/>
      </w:rPr>
    </w:lvl>
    <w:lvl w:ilvl="1" w:tentative="0">
      <w:start w:val="1"/>
      <w:numFmt w:val="decimal"/>
      <w:lvlText w:val="%1.%2."/>
      <w:lvlJc w:val="left"/>
      <w:pPr>
        <w:tabs>
          <w:tab w:val="left" w:pos="1135"/>
        </w:tabs>
        <w:ind w:left="1135"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4"/>
    <w:multiLevelType w:val="multilevel"/>
    <w:tmpl w:val="0000001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0000015"/>
    <w:multiLevelType w:val="multilevel"/>
    <w:tmpl w:val="00000015"/>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00000018"/>
    <w:multiLevelType w:val="multilevel"/>
    <w:tmpl w:val="00000018"/>
    <w:lvl w:ilvl="0" w:tentative="0">
      <w:start w:val="5"/>
      <w:numFmt w:val="decimal"/>
      <w:lvlText w:val="%1"/>
      <w:lvlJc w:val="left"/>
      <w:pPr>
        <w:tabs>
          <w:tab w:val="left" w:pos="425"/>
        </w:tabs>
        <w:ind w:left="425" w:hanging="425"/>
      </w:pPr>
      <w:rPr>
        <w:rFonts w:hint="eastAsia"/>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9"/>
    <w:multiLevelType w:val="multilevel"/>
    <w:tmpl w:val="00000019"/>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5">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00000021"/>
    <w:multiLevelType w:val="multilevel"/>
    <w:tmpl w:val="0000002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28"/>
    <w:multiLevelType w:val="multilevel"/>
    <w:tmpl w:val="00000028"/>
    <w:lvl w:ilvl="0" w:tentative="0">
      <w:start w:val="4"/>
      <w:numFmt w:val="decimal"/>
      <w:lvlText w:val="%1"/>
      <w:lvlJc w:val="left"/>
      <w:pPr>
        <w:tabs>
          <w:tab w:val="left" w:pos="425"/>
        </w:tabs>
        <w:ind w:left="425" w:hanging="425"/>
      </w:pPr>
      <w:rPr>
        <w:rFonts w:hint="default" w:ascii="Arial" w:hAnsi="Arial"/>
        <w:sz w:val="24"/>
        <w:szCs w:val="24"/>
      </w:rPr>
    </w:lvl>
    <w:lvl w:ilvl="1" w:tentative="0">
      <w:start w:val="1"/>
      <w:numFmt w:val="decimal"/>
      <w:lvlText w:val="%1.%2"/>
      <w:lvlJc w:val="left"/>
      <w:pPr>
        <w:tabs>
          <w:tab w:val="left" w:pos="567"/>
        </w:tabs>
        <w:ind w:left="851" w:hanging="567"/>
      </w:pPr>
      <w:rPr>
        <w:rFonts w:hint="eastAsia"/>
      </w:rPr>
    </w:lvl>
    <w:lvl w:ilvl="2" w:tentative="0">
      <w:start w:val="1"/>
      <w:numFmt w:val="decimal"/>
      <w:lvlText w:val="%1.%2.%3"/>
      <w:lvlJc w:val="left"/>
      <w:pPr>
        <w:tabs>
          <w:tab w:val="left" w:pos="1418"/>
        </w:tabs>
        <w:ind w:left="1418" w:hanging="851"/>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1D562EB0"/>
    <w:multiLevelType w:val="multilevel"/>
    <w:tmpl w:val="1D562EB0"/>
    <w:lvl w:ilvl="0" w:tentative="0">
      <w:start w:val="1"/>
      <w:numFmt w:val="japaneseCounting"/>
      <w:lvlText w:val="第%1章"/>
      <w:lvlJc w:val="left"/>
      <w:pPr>
        <w:ind w:left="1452" w:hanging="145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8"/>
  </w:num>
  <w:num w:numId="3">
    <w:abstractNumId w:val="2"/>
  </w:num>
  <w:num w:numId="4">
    <w:abstractNumId w:val="9"/>
  </w:num>
  <w:num w:numId="5">
    <w:abstractNumId w:val="17"/>
  </w:num>
  <w:num w:numId="6">
    <w:abstractNumId w:val="7"/>
  </w:num>
  <w:num w:numId="7">
    <w:abstractNumId w:val="12"/>
  </w:num>
  <w:num w:numId="8">
    <w:abstractNumId w:val="4"/>
  </w:num>
  <w:num w:numId="9">
    <w:abstractNumId w:val="8"/>
  </w:num>
  <w:num w:numId="10">
    <w:abstractNumId w:val="13"/>
  </w:num>
  <w:num w:numId="11">
    <w:abstractNumId w:val="5"/>
  </w:num>
  <w:num w:numId="12">
    <w:abstractNumId w:val="6"/>
  </w:num>
  <w:num w:numId="13">
    <w:abstractNumId w:val="14"/>
  </w:num>
  <w:num w:numId="14">
    <w:abstractNumId w:val="16"/>
  </w:num>
  <w:num w:numId="15">
    <w:abstractNumId w:val="15"/>
  </w:num>
  <w:num w:numId="16">
    <w:abstractNumId w:val="11"/>
  </w:num>
  <w:num w:numId="17">
    <w:abstractNumId w:val="1"/>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YmY1ZWI2YTk4OWZhYzIxMmMzYzRmNDllZDc3NmYifQ=="/>
  </w:docVars>
  <w:rsids>
    <w:rsidRoot w:val="4FD15EF4"/>
    <w:rsid w:val="00040A62"/>
    <w:rsid w:val="000520FD"/>
    <w:rsid w:val="00057051"/>
    <w:rsid w:val="000831BC"/>
    <w:rsid w:val="00093897"/>
    <w:rsid w:val="00094574"/>
    <w:rsid w:val="000962B8"/>
    <w:rsid w:val="00097384"/>
    <w:rsid w:val="0011429E"/>
    <w:rsid w:val="00115680"/>
    <w:rsid w:val="00116DF1"/>
    <w:rsid w:val="00126EDB"/>
    <w:rsid w:val="00127B5E"/>
    <w:rsid w:val="001411C8"/>
    <w:rsid w:val="00142D42"/>
    <w:rsid w:val="00142D54"/>
    <w:rsid w:val="00174034"/>
    <w:rsid w:val="00220783"/>
    <w:rsid w:val="00266CDC"/>
    <w:rsid w:val="00267D1E"/>
    <w:rsid w:val="002B4B9B"/>
    <w:rsid w:val="002C17B1"/>
    <w:rsid w:val="0033073E"/>
    <w:rsid w:val="00344374"/>
    <w:rsid w:val="00352A67"/>
    <w:rsid w:val="00355818"/>
    <w:rsid w:val="0037633A"/>
    <w:rsid w:val="0039051D"/>
    <w:rsid w:val="003A221E"/>
    <w:rsid w:val="003B5E07"/>
    <w:rsid w:val="003B6AFC"/>
    <w:rsid w:val="003E5EA3"/>
    <w:rsid w:val="00405E56"/>
    <w:rsid w:val="00435C91"/>
    <w:rsid w:val="004D735D"/>
    <w:rsid w:val="004E1145"/>
    <w:rsid w:val="004F3C90"/>
    <w:rsid w:val="004F4887"/>
    <w:rsid w:val="0050315C"/>
    <w:rsid w:val="005368F6"/>
    <w:rsid w:val="0055599B"/>
    <w:rsid w:val="005806C8"/>
    <w:rsid w:val="005B4F48"/>
    <w:rsid w:val="005E68F1"/>
    <w:rsid w:val="005F6B84"/>
    <w:rsid w:val="006033FF"/>
    <w:rsid w:val="006343A1"/>
    <w:rsid w:val="00662333"/>
    <w:rsid w:val="006B60EB"/>
    <w:rsid w:val="006F15D6"/>
    <w:rsid w:val="007018DD"/>
    <w:rsid w:val="00701CD7"/>
    <w:rsid w:val="007023B8"/>
    <w:rsid w:val="00702CD0"/>
    <w:rsid w:val="00703D5C"/>
    <w:rsid w:val="007518B5"/>
    <w:rsid w:val="00770A12"/>
    <w:rsid w:val="007A003D"/>
    <w:rsid w:val="007B0A6F"/>
    <w:rsid w:val="007C4DBF"/>
    <w:rsid w:val="007C5214"/>
    <w:rsid w:val="00871744"/>
    <w:rsid w:val="00886BD9"/>
    <w:rsid w:val="00894948"/>
    <w:rsid w:val="00933B35"/>
    <w:rsid w:val="009464D0"/>
    <w:rsid w:val="00950732"/>
    <w:rsid w:val="009512CA"/>
    <w:rsid w:val="0097096C"/>
    <w:rsid w:val="00971EA3"/>
    <w:rsid w:val="00A2033F"/>
    <w:rsid w:val="00A220C1"/>
    <w:rsid w:val="00A9388D"/>
    <w:rsid w:val="00A97EA8"/>
    <w:rsid w:val="00AA668F"/>
    <w:rsid w:val="00AB2844"/>
    <w:rsid w:val="00AF2779"/>
    <w:rsid w:val="00B25C87"/>
    <w:rsid w:val="00B31744"/>
    <w:rsid w:val="00B720B8"/>
    <w:rsid w:val="00B90F7F"/>
    <w:rsid w:val="00BC4F5E"/>
    <w:rsid w:val="00BE24D7"/>
    <w:rsid w:val="00BE78E4"/>
    <w:rsid w:val="00BF3D49"/>
    <w:rsid w:val="00BF4821"/>
    <w:rsid w:val="00BF6A44"/>
    <w:rsid w:val="00CB6EE8"/>
    <w:rsid w:val="00CF1858"/>
    <w:rsid w:val="00D0790A"/>
    <w:rsid w:val="00D07D17"/>
    <w:rsid w:val="00D141ED"/>
    <w:rsid w:val="00D20794"/>
    <w:rsid w:val="00D2275C"/>
    <w:rsid w:val="00D34754"/>
    <w:rsid w:val="00D87705"/>
    <w:rsid w:val="00D9473F"/>
    <w:rsid w:val="00DB39DA"/>
    <w:rsid w:val="00DE5348"/>
    <w:rsid w:val="00DF2317"/>
    <w:rsid w:val="00E33B94"/>
    <w:rsid w:val="00E52196"/>
    <w:rsid w:val="00E71C54"/>
    <w:rsid w:val="00E96A1A"/>
    <w:rsid w:val="00ED2D53"/>
    <w:rsid w:val="00ED4739"/>
    <w:rsid w:val="00F10601"/>
    <w:rsid w:val="00F127B1"/>
    <w:rsid w:val="00F411EB"/>
    <w:rsid w:val="00F661EC"/>
    <w:rsid w:val="00F74908"/>
    <w:rsid w:val="00F8563E"/>
    <w:rsid w:val="00F979DC"/>
    <w:rsid w:val="00FA283E"/>
    <w:rsid w:val="00FA4A92"/>
    <w:rsid w:val="00FB65D6"/>
    <w:rsid w:val="020D6A8E"/>
    <w:rsid w:val="03DA2DB4"/>
    <w:rsid w:val="047F2D99"/>
    <w:rsid w:val="067142D4"/>
    <w:rsid w:val="07135006"/>
    <w:rsid w:val="08A32A73"/>
    <w:rsid w:val="094F2CD3"/>
    <w:rsid w:val="09D76750"/>
    <w:rsid w:val="0ABF4A41"/>
    <w:rsid w:val="0BDB2D47"/>
    <w:rsid w:val="0ED05591"/>
    <w:rsid w:val="0EF6046B"/>
    <w:rsid w:val="1163361A"/>
    <w:rsid w:val="11FD61AD"/>
    <w:rsid w:val="13671B64"/>
    <w:rsid w:val="13CE2D17"/>
    <w:rsid w:val="144170C5"/>
    <w:rsid w:val="145108B5"/>
    <w:rsid w:val="15F0264E"/>
    <w:rsid w:val="174829BA"/>
    <w:rsid w:val="17C13145"/>
    <w:rsid w:val="17D56DFB"/>
    <w:rsid w:val="1AC85260"/>
    <w:rsid w:val="1B696ACA"/>
    <w:rsid w:val="1FF816BD"/>
    <w:rsid w:val="20563335"/>
    <w:rsid w:val="20CF0AB9"/>
    <w:rsid w:val="22AE5CD8"/>
    <w:rsid w:val="230E417C"/>
    <w:rsid w:val="24165CAC"/>
    <w:rsid w:val="24FE2F42"/>
    <w:rsid w:val="25853BC4"/>
    <w:rsid w:val="277B4318"/>
    <w:rsid w:val="27986B84"/>
    <w:rsid w:val="28DB158E"/>
    <w:rsid w:val="29CD1829"/>
    <w:rsid w:val="2A152425"/>
    <w:rsid w:val="2A31295D"/>
    <w:rsid w:val="2EB92876"/>
    <w:rsid w:val="2F9A27E4"/>
    <w:rsid w:val="30A71E6B"/>
    <w:rsid w:val="34114B8C"/>
    <w:rsid w:val="34DD1EEC"/>
    <w:rsid w:val="35553C0F"/>
    <w:rsid w:val="36EF4615"/>
    <w:rsid w:val="3775168B"/>
    <w:rsid w:val="37ED6FC5"/>
    <w:rsid w:val="381C7081"/>
    <w:rsid w:val="38C365B5"/>
    <w:rsid w:val="38D21D36"/>
    <w:rsid w:val="3A3C3146"/>
    <w:rsid w:val="3A8B1791"/>
    <w:rsid w:val="3B17172C"/>
    <w:rsid w:val="3CA15164"/>
    <w:rsid w:val="3CCE55DF"/>
    <w:rsid w:val="3D431C65"/>
    <w:rsid w:val="3E085782"/>
    <w:rsid w:val="3EF58F63"/>
    <w:rsid w:val="410E6295"/>
    <w:rsid w:val="412742D5"/>
    <w:rsid w:val="42A31B4C"/>
    <w:rsid w:val="43246EB8"/>
    <w:rsid w:val="43E05306"/>
    <w:rsid w:val="45330076"/>
    <w:rsid w:val="454A17E6"/>
    <w:rsid w:val="45CC0C03"/>
    <w:rsid w:val="46AD482D"/>
    <w:rsid w:val="47DD45B4"/>
    <w:rsid w:val="483F562A"/>
    <w:rsid w:val="4874332A"/>
    <w:rsid w:val="4ACA2213"/>
    <w:rsid w:val="4C0D36A4"/>
    <w:rsid w:val="4C141798"/>
    <w:rsid w:val="4D480CC6"/>
    <w:rsid w:val="4FD15EF4"/>
    <w:rsid w:val="51464EE3"/>
    <w:rsid w:val="521310F3"/>
    <w:rsid w:val="52DF4409"/>
    <w:rsid w:val="539F282D"/>
    <w:rsid w:val="54134450"/>
    <w:rsid w:val="55A40CCA"/>
    <w:rsid w:val="5662390B"/>
    <w:rsid w:val="587C29ED"/>
    <w:rsid w:val="58A874FC"/>
    <w:rsid w:val="5E6847CD"/>
    <w:rsid w:val="5FF42674"/>
    <w:rsid w:val="5FFE314C"/>
    <w:rsid w:val="6045400C"/>
    <w:rsid w:val="607B00D4"/>
    <w:rsid w:val="60DF60FA"/>
    <w:rsid w:val="63EB0A27"/>
    <w:rsid w:val="64400212"/>
    <w:rsid w:val="677D68AA"/>
    <w:rsid w:val="6AEE2AF7"/>
    <w:rsid w:val="6D0F47BB"/>
    <w:rsid w:val="6DE600BC"/>
    <w:rsid w:val="6EA050D0"/>
    <w:rsid w:val="7071777A"/>
    <w:rsid w:val="711759BD"/>
    <w:rsid w:val="72FB4411"/>
    <w:rsid w:val="76835DF0"/>
    <w:rsid w:val="776E1356"/>
    <w:rsid w:val="788D068F"/>
    <w:rsid w:val="7A50583C"/>
    <w:rsid w:val="7A851910"/>
    <w:rsid w:val="7A95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9"/>
    <w:pPr>
      <w:keepNext/>
      <w:keepLines/>
      <w:spacing w:before="120" w:after="120" w:line="360" w:lineRule="auto"/>
      <w:jc w:val="center"/>
      <w:outlineLvl w:val="0"/>
    </w:pPr>
    <w:rPr>
      <w:rFonts w:ascii="仿宋" w:hAnsi="仿宋" w:eastAsia="仿宋"/>
      <w:b/>
      <w:bCs/>
      <w:kern w:val="44"/>
      <w:sz w:val="36"/>
      <w:szCs w:val="36"/>
    </w:rPr>
  </w:style>
  <w:style w:type="paragraph" w:styleId="5">
    <w:name w:val="heading 2"/>
    <w:basedOn w:val="1"/>
    <w:next w:val="6"/>
    <w:qFormat/>
    <w:uiPriority w:val="99"/>
    <w:pPr>
      <w:keepNext/>
      <w:keepLines/>
      <w:spacing w:line="360" w:lineRule="auto"/>
      <w:outlineLvl w:val="1"/>
    </w:pPr>
    <w:rPr>
      <w:rFonts w:ascii="仿宋" w:hAnsi="仿宋" w:eastAsia="仿宋"/>
      <w:b/>
      <w:bCs/>
      <w:kern w:val="0"/>
      <w:sz w:val="28"/>
      <w:szCs w:val="28"/>
    </w:rPr>
  </w:style>
  <w:style w:type="paragraph" w:styleId="7">
    <w:name w:val="heading 3"/>
    <w:basedOn w:val="1"/>
    <w:next w:val="6"/>
    <w:qFormat/>
    <w:uiPriority w:val="99"/>
    <w:pPr>
      <w:keepNext/>
      <w:keepLines/>
      <w:spacing w:line="360" w:lineRule="auto"/>
      <w:outlineLvl w:val="2"/>
    </w:pPr>
    <w:rPr>
      <w:rFonts w:ascii="仿宋" w:hAnsi="仿宋" w:eastAsia="仿宋"/>
      <w:b/>
      <w:kern w:val="0"/>
      <w:sz w:val="28"/>
      <w:szCs w:val="28"/>
    </w:rPr>
  </w:style>
  <w:style w:type="paragraph" w:styleId="8">
    <w:name w:val="heading 4"/>
    <w:basedOn w:val="1"/>
    <w:next w:val="1"/>
    <w:qFormat/>
    <w:uiPriority w:val="0"/>
    <w:pPr>
      <w:keepNext/>
      <w:keepLines/>
      <w:numPr>
        <w:ilvl w:val="3"/>
        <w:numId w:val="1"/>
      </w:numPr>
      <w:tabs>
        <w:tab w:val="left" w:pos="567"/>
      </w:tabs>
      <w:spacing w:before="120" w:after="120" w:line="360" w:lineRule="auto"/>
      <w:outlineLvl w:val="3"/>
    </w:pPr>
    <w:rPr>
      <w:rFonts w:ascii="Arial" w:hAnsi="Arial" w:eastAsia="黑体"/>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tabs>
        <w:tab w:val="left" w:pos="540"/>
        <w:tab w:val="left" w:pos="720"/>
      </w:tabs>
      <w:ind w:firstLine="420"/>
    </w:pPr>
    <w:rPr>
      <w:rFonts w:ascii="Calibri" w:hAnsi="Calibri"/>
      <w:sz w:val="21"/>
      <w:szCs w:val="22"/>
    </w:rPr>
  </w:style>
  <w:style w:type="paragraph" w:styleId="3">
    <w:name w:val="Body Text Indent"/>
    <w:basedOn w:val="1"/>
    <w:next w:val="1"/>
    <w:semiHidden/>
    <w:unhideWhenUsed/>
    <w:qFormat/>
    <w:uiPriority w:val="99"/>
    <w:pPr>
      <w:ind w:right="250" w:rightChars="78" w:firstLine="640" w:firstLineChars="200"/>
    </w:pPr>
    <w:rPr>
      <w:rFonts w:ascii="Times New Roman" w:hAnsi="Times New Roman" w:eastAsia="仿宋_GB2312" w:cs="Times New Roman"/>
      <w:kern w:val="0"/>
      <w:sz w:val="32"/>
      <w:szCs w:val="24"/>
    </w:rPr>
  </w:style>
  <w:style w:type="paragraph" w:customStyle="1" w:styleId="6">
    <w:name w:val="通用-正文格式"/>
    <w:basedOn w:val="1"/>
    <w:qFormat/>
    <w:uiPriority w:val="0"/>
    <w:pPr>
      <w:spacing w:line="360" w:lineRule="auto"/>
      <w:ind w:firstLine="480" w:firstLineChars="200"/>
    </w:pPr>
    <w:rPr>
      <w:rFonts w:ascii="Times New Roman" w:hAnsi="Times New Roman" w:cs="宋体"/>
      <w:sz w:val="24"/>
      <w:szCs w:val="20"/>
    </w:rPr>
  </w:style>
  <w:style w:type="paragraph" w:styleId="9">
    <w:name w:val="Normal Indent"/>
    <w:basedOn w:val="1"/>
    <w:next w:val="1"/>
    <w:qFormat/>
    <w:uiPriority w:val="0"/>
    <w:pPr>
      <w:adjustRightInd w:val="0"/>
      <w:spacing w:line="312" w:lineRule="atLeast"/>
      <w:ind w:firstLine="420"/>
      <w:textAlignment w:val="baseline"/>
    </w:pPr>
    <w:rPr>
      <w:kern w:val="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after="120"/>
    </w:pPr>
    <w:rPr>
      <w:sz w:val="16"/>
      <w:szCs w:val="16"/>
      <w:lang w:val="zh-CN"/>
    </w:rPr>
  </w:style>
  <w:style w:type="paragraph" w:styleId="12">
    <w:name w:val="Body Text"/>
    <w:basedOn w:val="1"/>
    <w:next w:val="1"/>
    <w:qFormat/>
    <w:uiPriority w:val="99"/>
    <w:pPr>
      <w:spacing w:after="120"/>
    </w:pPr>
    <w:rPr>
      <w:rFonts w:ascii="Times New Roman" w:hAnsi="Times New Roman" w:cs="Times New Roman"/>
      <w:szCs w:val="24"/>
    </w:rPr>
  </w:style>
  <w:style w:type="paragraph" w:styleId="13">
    <w:name w:val="List Continue"/>
    <w:basedOn w:val="1"/>
    <w:qFormat/>
    <w:uiPriority w:val="0"/>
    <w:pPr>
      <w:spacing w:after="120"/>
      <w:ind w:left="420" w:leftChars="200"/>
    </w:pPr>
    <w:rPr>
      <w:rFonts w:ascii="Times New Roman" w:hAnsi="Times New Roman"/>
      <w:szCs w:val="20"/>
    </w:rPr>
  </w:style>
  <w:style w:type="paragraph" w:styleId="14">
    <w:name w:val="Plain Text"/>
    <w:basedOn w:val="1"/>
    <w:qFormat/>
    <w:uiPriority w:val="0"/>
    <w:rPr>
      <w:rFonts w:hAnsi="Courier New" w:cs="Times New Roman"/>
      <w:szCs w:val="20"/>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adjustRightInd w:val="0"/>
      <w:spacing w:before="120" w:after="120" w:line="360" w:lineRule="atLeast"/>
      <w:jc w:val="left"/>
      <w:textAlignment w:val="baseline"/>
    </w:pPr>
    <w:rPr>
      <w:b/>
      <w:bCs/>
      <w:caps/>
      <w:kern w:val="0"/>
      <w:sz w:val="20"/>
      <w:szCs w:val="20"/>
    </w:rPr>
  </w:style>
  <w:style w:type="paragraph" w:styleId="18">
    <w:name w:val="toc 2"/>
    <w:basedOn w:val="1"/>
    <w:next w:val="1"/>
    <w:qFormat/>
    <w:uiPriority w:val="39"/>
    <w:pPr>
      <w:adjustRightInd w:val="0"/>
      <w:spacing w:line="360" w:lineRule="atLeast"/>
      <w:ind w:left="240"/>
      <w:jc w:val="left"/>
      <w:textAlignment w:val="baseline"/>
    </w:pPr>
    <w:rPr>
      <w:smallCaps/>
      <w:kern w:val="0"/>
      <w:sz w:val="20"/>
      <w:szCs w:val="20"/>
    </w:rPr>
  </w:style>
  <w:style w:type="paragraph" w:styleId="19">
    <w:name w:val="Normal (Web)"/>
    <w:basedOn w:val="1"/>
    <w:unhideWhenUsed/>
    <w:qFormat/>
    <w:uiPriority w:val="0"/>
    <w:rPr>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样式"/>
    <w:qFormat/>
    <w:uiPriority w:val="0"/>
    <w:pPr>
      <w:widowControl w:val="0"/>
      <w:autoSpaceDE w:val="0"/>
      <w:autoSpaceDN w:val="0"/>
      <w:adjustRightInd w:val="0"/>
    </w:pPr>
    <w:rPr>
      <w:rFonts w:ascii="宋体" w:hAnsi="宋体" w:eastAsia="Times New Roman" w:cs="Calibri"/>
      <w:kern w:val="2"/>
      <w:sz w:val="24"/>
      <w:szCs w:val="24"/>
      <w:lang w:val="en-US" w:eastAsia="zh-CN" w:bidi="ar-SA"/>
    </w:rPr>
  </w:style>
  <w:style w:type="character" w:customStyle="1" w:styleId="27">
    <w:name w:val="标题 2 Char Char Char Char Char Char Char"/>
    <w:qFormat/>
    <w:uiPriority w:val="0"/>
    <w:rPr>
      <w:rFonts w:ascii="Arial" w:hAnsi="Arial" w:eastAsia="黑体"/>
      <w:b/>
      <w:bCs/>
      <w:kern w:val="2"/>
      <w:sz w:val="32"/>
      <w:szCs w:val="32"/>
      <w:lang w:val="en-US" w:eastAsia="zh-CN"/>
    </w:rPr>
  </w:style>
  <w:style w:type="paragraph" w:customStyle="1" w:styleId="28">
    <w:name w:val="自由格式"/>
    <w:qFormat/>
    <w:uiPriority w:val="0"/>
    <w:rPr>
      <w:rFonts w:ascii="Calibri" w:hAnsi="Calibri" w:eastAsia="ヒラギノ角ゴ Pro W3" w:cs="Calibri"/>
      <w:color w:val="000000"/>
      <w:lang w:val="en-US" w:eastAsia="zh-CN" w:bidi="ar-SA"/>
    </w:rPr>
  </w:style>
  <w:style w:type="paragraph" w:customStyle="1" w:styleId="29">
    <w:name w:val="页脚1"/>
    <w:qFormat/>
    <w:uiPriority w:val="0"/>
    <w:pPr>
      <w:widowControl w:val="0"/>
      <w:tabs>
        <w:tab w:val="center" w:pos="4153"/>
        <w:tab w:val="right" w:pos="8306"/>
      </w:tabs>
    </w:pPr>
    <w:rPr>
      <w:rFonts w:ascii="Calibri" w:hAnsi="Calibri" w:eastAsia="ヒラギノ角ゴ Pro W3" w:cs="Calibri"/>
      <w:color w:val="000000"/>
      <w:kern w:val="2"/>
      <w:sz w:val="18"/>
      <w:lang w:val="en-US" w:eastAsia="zh-CN" w:bidi="ar-SA"/>
    </w:rPr>
  </w:style>
  <w:style w:type="paragraph" w:customStyle="1" w:styleId="30">
    <w:name w:val="模板-ZW"/>
    <w:basedOn w:val="31"/>
    <w:next w:val="1"/>
    <w:qFormat/>
    <w:uiPriority w:val="0"/>
    <w:pPr>
      <w:spacing w:beforeLines="50" w:afterLines="50" w:line="500" w:lineRule="exact"/>
      <w:ind w:firstLine="200" w:firstLineChars="200"/>
    </w:pPr>
    <w:rPr>
      <w:rFonts w:ascii="宋体" w:hAnsi="宋体"/>
      <w:spacing w:val="12"/>
      <w:sz w:val="24"/>
    </w:rPr>
  </w:style>
  <w:style w:type="paragraph" w:customStyle="1" w:styleId="31">
    <w:name w:val="正文1"/>
    <w:next w:val="30"/>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2">
    <w:name w:val="浅色列表 - 强调文字颜色 51"/>
    <w:basedOn w:val="1"/>
    <w:qFormat/>
    <w:uiPriority w:val="99"/>
    <w:pPr>
      <w:ind w:firstLine="420" w:firstLineChars="200"/>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列出段落1"/>
    <w:basedOn w:val="1"/>
    <w:qFormat/>
    <w:uiPriority w:val="34"/>
    <w:pPr>
      <w:ind w:firstLine="420" w:firstLineChars="200"/>
    </w:pPr>
  </w:style>
  <w:style w:type="paragraph" w:customStyle="1" w:styleId="36">
    <w:name w:val="TOC 标题1"/>
    <w:basedOn w:val="4"/>
    <w:next w:val="1"/>
    <w:qFormat/>
    <w:uiPriority w:val="39"/>
    <w:pPr>
      <w:widowControl/>
      <w:spacing w:before="480" w:after="0" w:line="276" w:lineRule="auto"/>
      <w:jc w:val="left"/>
      <w:outlineLvl w:val="9"/>
    </w:pPr>
    <w:rPr>
      <w:rFonts w:ascii="Cambria" w:hAnsi="Cambria" w:eastAsia="宋体"/>
      <w:color w:val="365F91"/>
      <w:sz w:val="28"/>
      <w:szCs w:val="28"/>
    </w:rPr>
  </w:style>
  <w:style w:type="paragraph" w:customStyle="1" w:styleId="37">
    <w:name w:val="符号列表"/>
    <w:basedOn w:val="1"/>
    <w:next w:val="38"/>
    <w:qFormat/>
    <w:uiPriority w:val="34"/>
    <w:pPr>
      <w:ind w:firstLine="420" w:firstLineChars="200"/>
    </w:pPr>
    <w:rPr>
      <w:lang w:val="zh-CN"/>
    </w:rPr>
  </w:style>
  <w:style w:type="paragraph" w:styleId="38">
    <w:name w:val="List Paragraph"/>
    <w:basedOn w:val="1"/>
    <w:qFormat/>
    <w:uiPriority w:val="34"/>
    <w:pPr>
      <w:ind w:firstLine="420" w:firstLineChars="200"/>
    </w:p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cs="宋体"/>
      <w:sz w:val="18"/>
      <w:szCs w:val="18"/>
      <w:lang w:eastAsia="en-US"/>
    </w:rPr>
  </w:style>
  <w:style w:type="paragraph" w:customStyle="1" w:styleId="41">
    <w:name w:val="修订1"/>
    <w:hidden/>
    <w:unhideWhenUsed/>
    <w:qFormat/>
    <w:uiPriority w:val="99"/>
    <w:rPr>
      <w:rFonts w:ascii="Calibri" w:hAnsi="Calibri" w:eastAsia="宋体" w:cs="Calibri"/>
      <w:kern w:val="2"/>
      <w:sz w:val="21"/>
      <w:szCs w:val="22"/>
      <w:lang w:val="en-US" w:eastAsia="zh-CN" w:bidi="ar-SA"/>
    </w:rPr>
  </w:style>
  <w:style w:type="paragraph" w:customStyle="1" w:styleId="42">
    <w:name w:val="修订2"/>
    <w:hidden/>
    <w:unhideWhenUsed/>
    <w:qFormat/>
    <w:uiPriority w:val="99"/>
    <w:rPr>
      <w:rFonts w:ascii="Calibri" w:hAnsi="Calibri" w:eastAsia="宋体" w:cs="Calibri"/>
      <w:kern w:val="2"/>
      <w:sz w:val="21"/>
      <w:szCs w:val="22"/>
      <w:lang w:val="en-US" w:eastAsia="zh-CN" w:bidi="ar-SA"/>
    </w:rPr>
  </w:style>
  <w:style w:type="paragraph" w:customStyle="1" w:styleId="43">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9E1910BA-45E8-449F-B460-2FE53503AC55}">
  <ds:schemaRefs/>
</ds:datastoreItem>
</file>

<file path=docProps/app.xml><?xml version="1.0" encoding="utf-8"?>
<Properties xmlns="http://schemas.openxmlformats.org/officeDocument/2006/extended-properties" xmlns:vt="http://schemas.openxmlformats.org/officeDocument/2006/docPropsVTypes">
  <Template>Normal</Template>
  <Pages>1</Pages>
  <Words>13070</Words>
  <Characters>13725</Characters>
  <Lines>980</Lines>
  <Paragraphs>956</Paragraphs>
  <TotalTime>4</TotalTime>
  <ScaleCrop>false</ScaleCrop>
  <LinksUpToDate>false</LinksUpToDate>
  <CharactersWithSpaces>25839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2024-06-12T11:15:00Z</dcterms:created>
  <dc:creator>吴军</dc:creator>
  <cp:lastModifiedBy>丛玉凤</cp:lastModifiedBy>
  <dcterms:modified xsi:type="dcterms:W3CDTF">2025-12-03T07:07:52Z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DFC91B95C80145BBB5B2183A0D408946</vt:lpwstr>
  </property>
  <property fmtid="{D5CDD505-2E9C-101B-9397-08002B2CF9AE}" pid="4" name="KSOTemplateDocerSaveRecord">
    <vt:lpwstr>eyJoZGlkIjoiZWFjYWViYjMyNmZmOTU3ZDY0NjNiZTFhZWY4ZmUxMzUiLCJ1c2VySWQiOiIzODA0MTgyMTMifQ==</vt:lpwstr>
  </property>
</Properties>
</file>