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firstLine="560"/>
        <w:jc w:val="right"/>
        <w:rPr>
          <w:rFonts w:hint="eastAsia" w:ascii="仿宋" w:hAnsi="仿宋" w:eastAsia="仿宋" w:cs="仿宋"/>
          <w:szCs w:val="24"/>
          <w:highlight w:val="none"/>
        </w:rPr>
      </w:pPr>
      <w:bookmarkStart w:id="0" w:name="OLE_LINK9"/>
      <w:bookmarkStart w:id="1" w:name="OLE_LINK10"/>
      <w:bookmarkStart w:id="2" w:name="OLE_LINK7"/>
      <w:bookmarkStart w:id="3" w:name="OLE_LINK8"/>
    </w:p>
    <w:p>
      <w:pPr>
        <w:jc w:val="center"/>
        <w:rPr>
          <w:rFonts w:hint="eastAsia" w:ascii="仿宋" w:hAnsi="仿宋" w:eastAsia="仿宋" w:cs="仿宋"/>
          <w:b/>
          <w:spacing w:val="32"/>
          <w:w w:val="90"/>
          <w:sz w:val="52"/>
          <w:szCs w:val="52"/>
          <w:highlight w:val="none"/>
        </w:rPr>
      </w:pPr>
      <w:r>
        <w:rPr>
          <w:rFonts w:hint="eastAsia" w:ascii="仿宋" w:hAnsi="仿宋" w:eastAsia="仿宋" w:cs="仿宋"/>
          <w:b/>
          <w:spacing w:val="32"/>
          <w:w w:val="90"/>
          <w:sz w:val="52"/>
          <w:szCs w:val="52"/>
          <w:highlight w:val="none"/>
        </w:rPr>
        <w:t>中国水利水电第十二工程局有限公司</w:t>
      </w:r>
    </w:p>
    <w:p>
      <w:pPr>
        <w:jc w:val="center"/>
        <w:rPr>
          <w:rFonts w:hint="eastAsia" w:ascii="仿宋" w:hAnsi="仿宋" w:eastAsia="仿宋" w:cs="仿宋"/>
          <w:b/>
          <w:spacing w:val="32"/>
          <w:w w:val="90"/>
          <w:sz w:val="52"/>
          <w:szCs w:val="52"/>
          <w:highlight w:val="none"/>
        </w:rPr>
      </w:pPr>
      <w:r>
        <w:rPr>
          <w:rFonts w:hint="eastAsia" w:ascii="仿宋" w:hAnsi="仿宋" w:eastAsia="仿宋" w:cs="仿宋"/>
          <w:b/>
          <w:spacing w:val="32"/>
          <w:w w:val="90"/>
          <w:sz w:val="52"/>
          <w:szCs w:val="52"/>
          <w:highlight w:val="none"/>
        </w:rPr>
        <w:t>浙江中水数建科技有限公司</w:t>
      </w:r>
    </w:p>
    <w:p>
      <w:pPr>
        <w:jc w:val="center"/>
        <w:rPr>
          <w:rFonts w:hint="eastAsia" w:ascii="仿宋" w:hAnsi="仿宋" w:eastAsia="仿宋" w:cs="仿宋"/>
          <w:b/>
          <w:spacing w:val="32"/>
          <w:w w:val="90"/>
          <w:sz w:val="52"/>
          <w:szCs w:val="52"/>
          <w:highlight w:val="none"/>
        </w:rPr>
      </w:pPr>
      <w:bookmarkStart w:id="4" w:name="OLE_LINK5"/>
      <w:r>
        <w:rPr>
          <w:rFonts w:hint="eastAsia" w:ascii="仿宋" w:hAnsi="仿宋" w:eastAsia="仿宋" w:cs="仿宋"/>
          <w:b/>
          <w:spacing w:val="32"/>
          <w:w w:val="90"/>
          <w:sz w:val="52"/>
          <w:szCs w:val="52"/>
          <w:highlight w:val="none"/>
        </w:rPr>
        <w:t>景宁县残疾人康养中心二期-智慧培智校园项目技术服务</w:t>
      </w:r>
    </w:p>
    <w:p>
      <w:pPr>
        <w:jc w:val="center"/>
        <w:rPr>
          <w:rFonts w:hint="eastAsia" w:ascii="仿宋" w:hAnsi="仿宋" w:eastAsia="仿宋" w:cs="仿宋"/>
          <w:b/>
          <w:spacing w:val="32"/>
          <w:w w:val="90"/>
          <w:sz w:val="52"/>
          <w:szCs w:val="52"/>
          <w:highlight w:val="none"/>
        </w:rPr>
      </w:pPr>
      <w:r>
        <w:rPr>
          <w:rFonts w:hint="eastAsia" w:ascii="仿宋" w:hAnsi="仿宋" w:eastAsia="仿宋" w:cs="仿宋"/>
          <w:b/>
          <w:spacing w:val="32"/>
          <w:w w:val="90"/>
          <w:sz w:val="52"/>
          <w:szCs w:val="52"/>
          <w:highlight w:val="none"/>
        </w:rPr>
        <w:t>谈判采购文件</w:t>
      </w:r>
    </w:p>
    <w:bookmarkEnd w:id="4"/>
    <w:p>
      <w:pPr>
        <w:ind w:firstLine="674"/>
        <w:jc w:val="center"/>
        <w:rPr>
          <w:rFonts w:hint="eastAsia" w:ascii="仿宋" w:hAnsi="仿宋" w:eastAsia="仿宋" w:cs="仿宋"/>
          <w:b/>
          <w:spacing w:val="32"/>
          <w:w w:val="90"/>
          <w:sz w:val="30"/>
          <w:szCs w:val="30"/>
          <w:highlight w:val="none"/>
        </w:rPr>
      </w:pPr>
    </w:p>
    <w:p>
      <w:pPr>
        <w:ind w:firstLine="674"/>
        <w:jc w:val="center"/>
        <w:rPr>
          <w:rFonts w:hint="eastAsia" w:ascii="仿宋" w:hAnsi="仿宋" w:eastAsia="仿宋" w:cs="仿宋"/>
          <w:b/>
          <w:spacing w:val="32"/>
          <w:w w:val="90"/>
          <w:sz w:val="30"/>
          <w:szCs w:val="30"/>
          <w:highlight w:val="none"/>
        </w:rPr>
      </w:pPr>
    </w:p>
    <w:p>
      <w:pPr>
        <w:snapToGrid w:val="0"/>
        <w:jc w:val="center"/>
        <w:rPr>
          <w:rFonts w:hint="eastAsia" w:ascii="仿宋" w:hAnsi="仿宋" w:eastAsia="仿宋" w:cs="仿宋"/>
          <w:b/>
          <w:spacing w:val="32"/>
          <w:w w:val="90"/>
          <w:sz w:val="48"/>
          <w:szCs w:val="48"/>
          <w:highlight w:val="none"/>
        </w:rPr>
      </w:pPr>
      <w:r>
        <w:rPr>
          <w:rFonts w:hint="eastAsia" w:ascii="仿宋" w:hAnsi="仿宋" w:eastAsia="仿宋" w:cs="仿宋"/>
          <w:b/>
          <w:spacing w:val="32"/>
          <w:w w:val="90"/>
          <w:sz w:val="48"/>
          <w:szCs w:val="48"/>
          <w:highlight w:val="none"/>
        </w:rPr>
        <w:drawing>
          <wp:inline distT="0" distB="0" distL="114300" distR="114300">
            <wp:extent cx="2372995" cy="2160905"/>
            <wp:effectExtent l="0" t="0" r="1905" b="10795"/>
            <wp:docPr id="1" name="图片 1" descr="说明: a71ea8d3fd1f41349d1d9ac7251f95cad1c85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a71ea8d3fd1f41349d1d9ac7251f95cad1c85e64"/>
                    <pic:cNvPicPr>
                      <a:picLocks noChangeAspect="1"/>
                    </pic:cNvPicPr>
                  </pic:nvPicPr>
                  <pic:blipFill>
                    <a:blip r:embed="rId14"/>
                    <a:srcRect l="16910" t="8540" r="23817" b="9366"/>
                    <a:stretch>
                      <a:fillRect/>
                    </a:stretch>
                  </pic:blipFill>
                  <pic:spPr>
                    <a:xfrm>
                      <a:off x="0" y="0"/>
                      <a:ext cx="2372995" cy="2160905"/>
                    </a:xfrm>
                    <a:prstGeom prst="rect">
                      <a:avLst/>
                    </a:prstGeom>
                    <a:noFill/>
                    <a:ln>
                      <a:noFill/>
                    </a:ln>
                  </pic:spPr>
                </pic:pic>
              </a:graphicData>
            </a:graphic>
          </wp:inline>
        </w:drawing>
      </w:r>
    </w:p>
    <w:p>
      <w:pPr>
        <w:snapToGrid w:val="0"/>
        <w:jc w:val="center"/>
        <w:rPr>
          <w:rFonts w:hint="eastAsia" w:ascii="仿宋" w:hAnsi="仿宋" w:eastAsia="仿宋" w:cs="仿宋"/>
          <w:b/>
          <w:spacing w:val="32"/>
          <w:w w:val="90"/>
          <w:sz w:val="48"/>
          <w:szCs w:val="48"/>
          <w:highlight w:val="none"/>
        </w:rPr>
      </w:pPr>
    </w:p>
    <w:p>
      <w:pPr>
        <w:snapToGrid w:val="0"/>
        <w:jc w:val="center"/>
        <w:rPr>
          <w:rFonts w:hint="eastAsia" w:ascii="仿宋" w:hAnsi="仿宋" w:eastAsia="仿宋" w:cs="仿宋"/>
          <w:b/>
          <w:spacing w:val="32"/>
          <w:w w:val="90"/>
          <w:sz w:val="48"/>
          <w:szCs w:val="48"/>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二○二五年十二月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jc w:val="center"/>
        <w:rPr>
          <w:rFonts w:hint="eastAsia" w:ascii="仿宋" w:hAnsi="仿宋" w:eastAsia="仿宋" w:cs="仿宋"/>
          <w:sz w:val="32"/>
          <w:szCs w:val="32"/>
          <w:highlight w:val="none"/>
        </w:rPr>
        <w:sectPr>
          <w:headerReference r:id="rId3" w:type="default"/>
          <w:footerReference r:id="rId4" w:type="default"/>
          <w:footerReference r:id="rId5" w:type="even"/>
          <w:pgSz w:w="11906" w:h="16838"/>
          <w:pgMar w:top="1418" w:right="1558" w:bottom="1418" w:left="1418" w:header="851" w:footer="964" w:gutter="0"/>
          <w:cols w:space="720" w:num="1"/>
          <w:docGrid w:type="lines" w:linePitch="326" w:charSpace="0"/>
        </w:sectPr>
      </w:pPr>
      <w:r>
        <w:rPr>
          <w:rFonts w:hint="eastAsia" w:ascii="仿宋" w:hAnsi="仿宋" w:eastAsia="仿宋" w:cs="仿宋"/>
          <w:sz w:val="32"/>
          <w:szCs w:val="32"/>
          <w:highlight w:val="none"/>
        </w:rPr>
        <w:t>中国·杭州</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jc w:val="center"/>
        <w:rPr>
          <w:rFonts w:hint="eastAsia" w:ascii="仿宋" w:hAnsi="仿宋" w:eastAsia="仿宋" w:cs="仿宋"/>
          <w:highlight w:val="none"/>
        </w:rPr>
      </w:pPr>
      <w:r>
        <w:rPr>
          <w:rFonts w:hint="eastAsia" w:ascii="仿宋" w:hAnsi="仿宋" w:eastAsia="仿宋" w:cs="仿宋"/>
          <w:b/>
          <w:sz w:val="30"/>
          <w:szCs w:val="30"/>
          <w:highlight w:val="none"/>
        </w:rPr>
        <w:t>目   录</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TOC \o "1-3" \h \z \u </w:instrText>
      </w:r>
      <w:r>
        <w:rPr>
          <w:rFonts w:hint="eastAsia" w:ascii="仿宋" w:hAnsi="仿宋" w:eastAsia="仿宋" w:cs="仿宋"/>
          <w:sz w:val="24"/>
          <w:szCs w:val="24"/>
          <w:highlight w:val="none"/>
        </w:rPr>
        <w:fldChar w:fldCharType="separate"/>
      </w:r>
    </w:p>
    <w:p>
      <w:pPr>
        <w:pStyle w:val="17"/>
        <w:tabs>
          <w:tab w:val="left" w:pos="960"/>
          <w:tab w:val="right" w:leader="dot" w:pos="9060"/>
        </w:tabs>
        <w:rPr>
          <w:rFonts w:hint="eastAsia" w:ascii="仿宋" w:hAnsi="仿宋" w:eastAsia="仿宋" w:cs="仿宋"/>
          <w:b w:val="0"/>
          <w:bCs w:val="0"/>
          <w:caps w:val="0"/>
          <w:kern w:val="2"/>
          <w:sz w:val="21"/>
          <w:szCs w:val="22"/>
          <w:highlight w:val="none"/>
        </w:rPr>
      </w:pPr>
      <w:r>
        <w:rPr>
          <w:highlight w:val="none"/>
        </w:rPr>
        <w:fldChar w:fldCharType="begin"/>
      </w:r>
      <w:r>
        <w:rPr>
          <w:highlight w:val="none"/>
        </w:rPr>
        <w:instrText xml:space="preserve"> HYPERLINK \l "_Toc58490760" </w:instrText>
      </w:r>
      <w:r>
        <w:rPr>
          <w:highlight w:val="none"/>
        </w:rPr>
        <w:fldChar w:fldCharType="separate"/>
      </w:r>
      <w:r>
        <w:rPr>
          <w:rStyle w:val="25"/>
          <w:rFonts w:hint="eastAsia" w:ascii="仿宋" w:hAnsi="仿宋" w:eastAsia="仿宋" w:cs="仿宋"/>
          <w:color w:val="auto"/>
          <w:highlight w:val="none"/>
        </w:rPr>
        <w:t>第一章  谈判采购公告（公开竞谈）</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_Toc58490760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7"/>
        <w:tabs>
          <w:tab w:val="right" w:leader="dot" w:pos="9060"/>
        </w:tabs>
        <w:rPr>
          <w:rFonts w:hint="eastAsia" w:ascii="仿宋" w:hAnsi="仿宋" w:eastAsia="仿宋" w:cs="仿宋"/>
          <w:b w:val="0"/>
          <w:bCs w:val="0"/>
          <w:caps w:val="0"/>
          <w:kern w:val="2"/>
          <w:sz w:val="21"/>
          <w:szCs w:val="22"/>
          <w:highlight w:val="none"/>
        </w:rPr>
      </w:pPr>
      <w:r>
        <w:rPr>
          <w:highlight w:val="none"/>
        </w:rPr>
        <w:fldChar w:fldCharType="begin"/>
      </w:r>
      <w:r>
        <w:rPr>
          <w:highlight w:val="none"/>
        </w:rPr>
        <w:instrText xml:space="preserve"> HYPERLINK \l "_Toc58490778" </w:instrText>
      </w:r>
      <w:r>
        <w:rPr>
          <w:highlight w:val="none"/>
        </w:rPr>
        <w:fldChar w:fldCharType="separate"/>
      </w:r>
      <w:r>
        <w:rPr>
          <w:rStyle w:val="25"/>
          <w:rFonts w:hint="eastAsia" w:ascii="仿宋" w:hAnsi="仿宋" w:eastAsia="仿宋" w:cs="仿宋"/>
          <w:color w:val="auto"/>
          <w:highlight w:val="none"/>
        </w:rPr>
        <w:t>第二章  谈判响应人须知</w:t>
      </w:r>
      <w:r>
        <w:rPr>
          <w:rFonts w:hint="eastAsia" w:ascii="仿宋" w:hAnsi="仿宋" w:eastAsia="仿宋" w:cs="仿宋"/>
          <w:highlight w:val="none"/>
        </w:rPr>
        <w:tab/>
      </w:r>
      <w:r>
        <w:rPr>
          <w:rFonts w:hint="eastAsia" w:ascii="仿宋" w:hAnsi="仿宋" w:eastAsia="仿宋" w:cs="仿宋"/>
          <w:highlight w:val="none"/>
        </w:rPr>
        <w:t>4</w:t>
      </w:r>
      <w:r>
        <w:rPr>
          <w:rFonts w:hint="eastAsia" w:ascii="仿宋" w:hAnsi="仿宋" w:eastAsia="仿宋" w:cs="仿宋"/>
          <w:highlight w:val="none"/>
        </w:rPr>
        <w:fldChar w:fldCharType="end"/>
      </w:r>
    </w:p>
    <w:p>
      <w:pPr>
        <w:pStyle w:val="17"/>
        <w:tabs>
          <w:tab w:val="right" w:leader="dot" w:pos="9060"/>
        </w:tabs>
        <w:rPr>
          <w:rFonts w:hint="eastAsia" w:ascii="仿宋" w:hAnsi="仿宋" w:eastAsia="仿宋" w:cs="仿宋"/>
          <w:b w:val="0"/>
          <w:bCs w:val="0"/>
          <w:caps w:val="0"/>
          <w:kern w:val="2"/>
          <w:sz w:val="21"/>
          <w:szCs w:val="22"/>
          <w:highlight w:val="none"/>
        </w:rPr>
      </w:pPr>
      <w:r>
        <w:rPr>
          <w:highlight w:val="none"/>
        </w:rPr>
        <w:fldChar w:fldCharType="begin"/>
      </w:r>
      <w:r>
        <w:rPr>
          <w:highlight w:val="none"/>
        </w:rPr>
        <w:instrText xml:space="preserve"> HYPERLINK \l "_Toc58490805" </w:instrText>
      </w:r>
      <w:r>
        <w:rPr>
          <w:highlight w:val="none"/>
        </w:rPr>
        <w:fldChar w:fldCharType="separate"/>
      </w:r>
      <w:r>
        <w:rPr>
          <w:rStyle w:val="25"/>
          <w:rFonts w:hint="eastAsia" w:ascii="仿宋" w:hAnsi="仿宋" w:eastAsia="仿宋" w:cs="仿宋"/>
          <w:color w:val="auto"/>
          <w:highlight w:val="none"/>
        </w:rPr>
        <w:t>第三章  评审办法</w:t>
      </w:r>
      <w:r>
        <w:rPr>
          <w:rFonts w:hint="eastAsia" w:ascii="仿宋" w:hAnsi="仿宋" w:eastAsia="仿宋" w:cs="仿宋"/>
          <w:highlight w:val="none"/>
        </w:rPr>
        <w:tab/>
      </w:r>
      <w:r>
        <w:rPr>
          <w:rFonts w:hint="eastAsia" w:ascii="仿宋" w:hAnsi="仿宋" w:eastAsia="仿宋" w:cs="仿宋"/>
          <w:highlight w:val="none"/>
        </w:rPr>
        <w:t>1</w:t>
      </w:r>
      <w:r>
        <w:rPr>
          <w:rFonts w:hint="eastAsia" w:ascii="仿宋" w:hAnsi="仿宋" w:eastAsia="仿宋" w:cs="仿宋"/>
          <w:highlight w:val="none"/>
        </w:rPr>
        <w:fldChar w:fldCharType="end"/>
      </w:r>
      <w:r>
        <w:rPr>
          <w:rStyle w:val="25"/>
          <w:rFonts w:hint="eastAsia" w:ascii="仿宋" w:hAnsi="仿宋" w:eastAsia="仿宋" w:cs="仿宋"/>
          <w:color w:val="auto"/>
          <w:highlight w:val="none"/>
        </w:rPr>
        <w:t>3</w:t>
      </w:r>
    </w:p>
    <w:p>
      <w:pPr>
        <w:pStyle w:val="17"/>
        <w:tabs>
          <w:tab w:val="right" w:leader="dot" w:pos="9060"/>
        </w:tabs>
        <w:rPr>
          <w:rStyle w:val="25"/>
          <w:rFonts w:hint="eastAsia" w:ascii="仿宋" w:hAnsi="仿宋" w:eastAsia="仿宋" w:cs="仿宋"/>
          <w:color w:val="auto"/>
          <w:highlight w:val="none"/>
        </w:rPr>
      </w:pPr>
      <w:r>
        <w:rPr>
          <w:highlight w:val="none"/>
        </w:rPr>
        <w:fldChar w:fldCharType="begin"/>
      </w:r>
      <w:r>
        <w:rPr>
          <w:highlight w:val="none"/>
        </w:rPr>
        <w:instrText xml:space="preserve"> HYPERLINK \l "_Toc58490806" </w:instrText>
      </w:r>
      <w:r>
        <w:rPr>
          <w:highlight w:val="none"/>
        </w:rPr>
        <w:fldChar w:fldCharType="separate"/>
      </w:r>
      <w:r>
        <w:rPr>
          <w:rStyle w:val="25"/>
          <w:rFonts w:hint="eastAsia" w:ascii="仿宋" w:hAnsi="仿宋" w:eastAsia="仿宋" w:cs="仿宋"/>
          <w:color w:val="auto"/>
          <w:highlight w:val="none"/>
        </w:rPr>
        <w:t>第四章  合同条款及格式</w:t>
      </w:r>
      <w:r>
        <w:rPr>
          <w:rFonts w:hint="eastAsia" w:ascii="仿宋" w:hAnsi="仿宋" w:eastAsia="仿宋" w:cs="仿宋"/>
          <w:highlight w:val="none"/>
        </w:rPr>
        <w:tab/>
      </w:r>
      <w:r>
        <w:rPr>
          <w:rFonts w:hint="eastAsia" w:ascii="仿宋" w:hAnsi="仿宋" w:eastAsia="仿宋" w:cs="仿宋"/>
          <w:highlight w:val="none"/>
        </w:rPr>
        <w:t>1</w:t>
      </w:r>
      <w:r>
        <w:rPr>
          <w:rFonts w:hint="eastAsia" w:ascii="仿宋" w:hAnsi="仿宋" w:eastAsia="仿宋" w:cs="仿宋"/>
          <w:highlight w:val="none"/>
        </w:rPr>
        <w:fldChar w:fldCharType="end"/>
      </w:r>
      <w:r>
        <w:rPr>
          <w:rStyle w:val="25"/>
          <w:rFonts w:hint="eastAsia" w:ascii="仿宋" w:hAnsi="仿宋" w:eastAsia="仿宋" w:cs="仿宋"/>
          <w:color w:val="auto"/>
          <w:highlight w:val="none"/>
        </w:rPr>
        <w:t>6</w:t>
      </w:r>
    </w:p>
    <w:p>
      <w:pPr>
        <w:pStyle w:val="17"/>
        <w:tabs>
          <w:tab w:val="right" w:leader="dot" w:pos="9060"/>
        </w:tabs>
        <w:rPr>
          <w:rFonts w:hint="eastAsia" w:ascii="仿宋" w:hAnsi="仿宋" w:eastAsia="仿宋" w:cs="仿宋"/>
          <w:b w:val="0"/>
          <w:bCs w:val="0"/>
          <w:caps w:val="0"/>
          <w:kern w:val="2"/>
          <w:sz w:val="21"/>
          <w:szCs w:val="22"/>
          <w:highlight w:val="none"/>
        </w:rPr>
      </w:pPr>
      <w:r>
        <w:rPr>
          <w:highlight w:val="none"/>
        </w:rPr>
        <w:fldChar w:fldCharType="begin"/>
      </w:r>
      <w:r>
        <w:rPr>
          <w:highlight w:val="none"/>
        </w:rPr>
        <w:instrText xml:space="preserve"> HYPERLINK \l "_Toc58490813" </w:instrText>
      </w:r>
      <w:r>
        <w:rPr>
          <w:highlight w:val="none"/>
        </w:rPr>
        <w:fldChar w:fldCharType="separate"/>
      </w:r>
      <w:r>
        <w:rPr>
          <w:rStyle w:val="25"/>
          <w:rFonts w:hint="eastAsia" w:ascii="仿宋" w:hAnsi="仿宋" w:eastAsia="仿宋" w:cs="仿宋"/>
          <w:color w:val="auto"/>
          <w:highlight w:val="none"/>
        </w:rPr>
        <w:t>第五章  响应文件格式</w:t>
      </w:r>
      <w:r>
        <w:rPr>
          <w:rFonts w:hint="eastAsia" w:ascii="仿宋" w:hAnsi="仿宋" w:eastAsia="仿宋" w:cs="仿宋"/>
          <w:highlight w:val="none"/>
        </w:rPr>
        <w:tab/>
      </w:r>
      <w:r>
        <w:rPr>
          <w:rFonts w:hint="eastAsia" w:ascii="仿宋" w:hAnsi="仿宋" w:eastAsia="仿宋" w:cs="仿宋"/>
          <w:highlight w:val="none"/>
        </w:rPr>
        <w:t>2</w:t>
      </w:r>
      <w:r>
        <w:rPr>
          <w:rFonts w:hint="eastAsia" w:ascii="仿宋" w:hAnsi="仿宋" w:eastAsia="仿宋" w:cs="仿宋"/>
          <w:highlight w:val="none"/>
        </w:rPr>
        <w:fldChar w:fldCharType="end"/>
      </w:r>
      <w:r>
        <w:rPr>
          <w:rStyle w:val="25"/>
          <w:rFonts w:hint="eastAsia" w:ascii="仿宋" w:hAnsi="仿宋" w:eastAsia="仿宋" w:cs="仿宋"/>
          <w:color w:val="auto"/>
          <w:highlight w:val="none"/>
        </w:rPr>
        <w:t>1</w:t>
      </w:r>
    </w:p>
    <w:p>
      <w:pPr>
        <w:pStyle w:val="17"/>
        <w:tabs>
          <w:tab w:val="right" w:leader="dot" w:pos="9060"/>
        </w:tabs>
        <w:rPr>
          <w:rFonts w:hint="eastAsia" w:ascii="仿宋" w:hAnsi="仿宋" w:eastAsia="仿宋" w:cs="仿宋"/>
          <w:b w:val="0"/>
          <w:bCs w:val="0"/>
          <w:caps w:val="0"/>
          <w:kern w:val="2"/>
          <w:sz w:val="21"/>
          <w:szCs w:val="22"/>
          <w:highlight w:val="none"/>
        </w:rPr>
      </w:pPr>
      <w:r>
        <w:rPr>
          <w:highlight w:val="none"/>
        </w:rPr>
        <w:fldChar w:fldCharType="begin"/>
      </w:r>
      <w:r>
        <w:rPr>
          <w:highlight w:val="none"/>
        </w:rPr>
        <w:instrText xml:space="preserve"> HYPERLINK \l "_Toc58490828" </w:instrText>
      </w:r>
      <w:r>
        <w:rPr>
          <w:highlight w:val="none"/>
        </w:rPr>
        <w:fldChar w:fldCharType="separate"/>
      </w:r>
      <w:r>
        <w:rPr>
          <w:rStyle w:val="25"/>
          <w:rFonts w:hint="eastAsia" w:ascii="仿宋" w:hAnsi="仿宋" w:eastAsia="仿宋" w:cs="仿宋"/>
          <w:color w:val="auto"/>
          <w:highlight w:val="none"/>
        </w:rPr>
        <w:t>第六章  项目说明及技术文件</w:t>
      </w:r>
      <w:r>
        <w:rPr>
          <w:rFonts w:hint="eastAsia" w:ascii="仿宋" w:hAnsi="仿宋" w:eastAsia="仿宋" w:cs="仿宋"/>
          <w:highlight w:val="none"/>
        </w:rPr>
        <w:tab/>
      </w:r>
      <w:r>
        <w:rPr>
          <w:rFonts w:hint="eastAsia" w:ascii="仿宋" w:hAnsi="仿宋" w:eastAsia="仿宋" w:cs="仿宋"/>
          <w:highlight w:val="none"/>
        </w:rPr>
        <w:t>6</w:t>
      </w:r>
      <w:r>
        <w:rPr>
          <w:rFonts w:hint="eastAsia" w:ascii="仿宋" w:hAnsi="仿宋" w:eastAsia="仿宋" w:cs="仿宋"/>
          <w:highlight w:val="none"/>
        </w:rPr>
        <w:fldChar w:fldCharType="end"/>
      </w:r>
      <w:r>
        <w:rPr>
          <w:rStyle w:val="25"/>
          <w:rFonts w:hint="eastAsia" w:ascii="仿宋" w:hAnsi="仿宋" w:eastAsia="仿宋" w:cs="仿宋"/>
          <w:color w:val="auto"/>
          <w:highlight w:val="none"/>
        </w:rPr>
        <w:t>7</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jc w:val="center"/>
        <w:rPr>
          <w:rFonts w:hint="eastAsia" w:ascii="仿宋" w:hAnsi="仿宋" w:eastAsia="仿宋" w:cs="仿宋"/>
          <w:szCs w:val="24"/>
          <w:highlight w:val="none"/>
        </w:rPr>
        <w:sectPr>
          <w:footerReference r:id="rId6" w:type="default"/>
          <w:pgSz w:w="11906" w:h="16838"/>
          <w:pgMar w:top="1418" w:right="1418" w:bottom="1418" w:left="1418" w:header="851" w:footer="964" w:gutter="0"/>
          <w:pgNumType w:fmt="upperRoman" w:start="1"/>
          <w:cols w:space="720" w:num="1"/>
          <w:docGrid w:type="lines" w:linePitch="326" w:charSpace="0"/>
        </w:sectPr>
      </w:pPr>
      <w:r>
        <w:rPr>
          <w:rFonts w:hint="eastAsia" w:ascii="仿宋" w:hAnsi="仿宋" w:eastAsia="仿宋" w:cs="仿宋"/>
          <w:sz w:val="24"/>
          <w:szCs w:val="24"/>
          <w:highlight w:val="none"/>
        </w:rPr>
        <w:fldChar w:fldCharType="end"/>
      </w:r>
    </w:p>
    <w:p>
      <w:pPr>
        <w:pStyle w:val="4"/>
        <w:numPr>
          <w:ilvl w:val="0"/>
          <w:numId w:val="2"/>
        </w:numPr>
        <w:rPr>
          <w:rFonts w:hint="eastAsia" w:cs="仿宋"/>
          <w:highlight w:val="none"/>
        </w:rPr>
      </w:pPr>
      <w:bookmarkStart w:id="5" w:name="第一章"/>
      <w:bookmarkEnd w:id="5"/>
      <w:bookmarkStart w:id="6" w:name="_Toc58490760"/>
      <w:bookmarkStart w:id="7" w:name="_Hlk53759854"/>
      <w:r>
        <w:rPr>
          <w:rFonts w:hint="eastAsia" w:cs="仿宋"/>
          <w:highlight w:val="none"/>
        </w:rPr>
        <w:t>谈判采购公告</w:t>
      </w:r>
      <w:bookmarkEnd w:id="6"/>
    </w:p>
    <w:p>
      <w:pPr>
        <w:pStyle w:val="5"/>
        <w:rPr>
          <w:rFonts w:hint="eastAsia" w:cs="仿宋"/>
          <w:highlight w:val="none"/>
        </w:rPr>
      </w:pPr>
      <w:bookmarkStart w:id="8" w:name="_Toc58490761"/>
      <w:r>
        <w:rPr>
          <w:rFonts w:hint="eastAsia" w:cs="仿宋"/>
          <w:highlight w:val="none"/>
        </w:rPr>
        <w:t>1、采购项目</w:t>
      </w:r>
      <w:bookmarkEnd w:id="8"/>
    </w:p>
    <w:p>
      <w:pPr>
        <w:spacing w:line="360" w:lineRule="auto"/>
        <w:ind w:firstLine="480" w:firstLineChars="200"/>
        <w:jc w:val="left"/>
        <w:rPr>
          <w:rFonts w:hint="eastAsia" w:ascii="仿宋" w:hAnsi="仿宋" w:eastAsia="仿宋" w:cs="仿宋"/>
          <w:sz w:val="24"/>
          <w:szCs w:val="24"/>
          <w:highlight w:val="none"/>
        </w:rPr>
      </w:pPr>
      <w:bookmarkStart w:id="9" w:name="_Toc58490762"/>
      <w:r>
        <w:rPr>
          <w:rFonts w:hint="eastAsia" w:ascii="仿宋" w:hAnsi="仿宋" w:eastAsia="仿宋" w:cs="仿宋"/>
          <w:kern w:val="0"/>
          <w:sz w:val="24"/>
          <w:szCs w:val="24"/>
          <w:highlight w:val="none"/>
        </w:rPr>
        <w:t>中国水利水电第十二工程局有限公司</w:t>
      </w:r>
      <w:r>
        <w:rPr>
          <w:rFonts w:hint="eastAsia" w:ascii="仿宋" w:hAnsi="仿宋" w:eastAsia="仿宋" w:cs="仿宋"/>
          <w:sz w:val="24"/>
          <w:szCs w:val="24"/>
          <w:highlight w:val="none"/>
        </w:rPr>
        <w:t>浙江中水数建科技有限公司（以下简称“采购人”）以谈判方式采购景宁县残疾人康养中心二期-智慧培智校园项目技术服务。</w:t>
      </w:r>
    </w:p>
    <w:p>
      <w:pPr>
        <w:pStyle w:val="5"/>
        <w:rPr>
          <w:rFonts w:hint="eastAsia" w:cs="仿宋"/>
          <w:highlight w:val="none"/>
        </w:rPr>
      </w:pPr>
      <w:r>
        <w:rPr>
          <w:rFonts w:hint="eastAsia" w:cs="仿宋"/>
          <w:highlight w:val="none"/>
        </w:rPr>
        <w:t>2、项目概况与采购范围</w:t>
      </w:r>
      <w:bookmarkEnd w:id="9"/>
    </w:p>
    <w:p>
      <w:pPr>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（1）项目名称：</w:t>
      </w:r>
      <w:bookmarkStart w:id="10" w:name="OLE_LINK4"/>
      <w:r>
        <w:rPr>
          <w:rFonts w:hint="eastAsia" w:ascii="仿宋" w:hAnsi="仿宋" w:eastAsia="仿宋" w:cs="仿宋"/>
          <w:bCs/>
          <w:sz w:val="24"/>
          <w:highlight w:val="none"/>
        </w:rPr>
        <w:t>景宁县残疾人康养中心二期-智慧培智校园项目技术服务采购</w:t>
      </w:r>
      <w:bookmarkEnd w:id="10"/>
      <w:r>
        <w:rPr>
          <w:rFonts w:hint="eastAsia" w:ascii="仿宋" w:hAnsi="仿宋" w:eastAsia="仿宋" w:cs="仿宋"/>
          <w:kern w:val="0"/>
          <w:sz w:val="24"/>
          <w:highlight w:val="none"/>
        </w:rPr>
        <w:t>。</w:t>
      </w:r>
    </w:p>
    <w:p>
      <w:pPr>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（2）项目概况：</w:t>
      </w:r>
      <w:r>
        <w:rPr>
          <w:rFonts w:hint="eastAsia" w:ascii="仿宋" w:hAnsi="仿宋" w:eastAsia="仿宋" w:cs="仿宋"/>
          <w:sz w:val="24"/>
          <w:szCs w:val="24"/>
          <w:highlight w:val="none"/>
        </w:rPr>
        <w:t>本次采购为景宁县残疾人康养中心二期-智慧培智校园项目</w:t>
      </w:r>
      <w:r>
        <w:rPr>
          <w:rFonts w:hint="eastAsia" w:ascii="仿宋" w:hAnsi="仿宋" w:eastAsia="仿宋" w:cs="仿宋"/>
          <w:kern w:val="0"/>
          <w:sz w:val="24"/>
          <w:highlight w:val="none"/>
        </w:rPr>
        <w:t>所需的技术</w:t>
      </w:r>
      <w:r>
        <w:rPr>
          <w:rFonts w:hint="eastAsia" w:ascii="仿宋" w:hAnsi="仿宋" w:eastAsia="仿宋" w:cs="仿宋"/>
          <w:bCs/>
          <w:sz w:val="24"/>
          <w:highlight w:val="none"/>
        </w:rPr>
        <w:t>服务工作</w:t>
      </w:r>
      <w:r>
        <w:rPr>
          <w:rFonts w:hint="eastAsia" w:ascii="仿宋" w:hAnsi="仿宋" w:eastAsia="仿宋" w:cs="仿宋"/>
          <w:sz w:val="24"/>
          <w:szCs w:val="24"/>
          <w:highlight w:val="none"/>
        </w:rPr>
        <w:t>。</w:t>
      </w:r>
    </w:p>
    <w:p>
      <w:pPr>
        <w:spacing w:line="440" w:lineRule="exact"/>
        <w:ind w:firstLine="480" w:firstLineChars="200"/>
        <w:rPr>
          <w:rFonts w:hint="eastAsia" w:ascii="仿宋" w:hAnsi="仿宋" w:eastAsia="仿宋" w:cs="仿宋"/>
          <w:kern w:val="0"/>
          <w:sz w:val="24"/>
          <w:highlight w:val="none"/>
        </w:rPr>
      </w:pPr>
      <w:r>
        <w:rPr>
          <w:rFonts w:hint="eastAsia" w:ascii="仿宋" w:hAnsi="仿宋" w:eastAsia="仿宋" w:cs="仿宋"/>
          <w:bCs/>
          <w:sz w:val="24"/>
          <w:highlight w:val="none"/>
        </w:rPr>
        <w:t>（3）采购内容：景宁县残疾人康养中心二期-智慧培智校园技术服务采购</w:t>
      </w:r>
      <w:r>
        <w:rPr>
          <w:rFonts w:hint="eastAsia" w:ascii="仿宋" w:hAnsi="仿宋" w:eastAsia="仿宋" w:cs="仿宋"/>
          <w:kern w:val="0"/>
          <w:sz w:val="24"/>
          <w:highlight w:val="none"/>
        </w:rPr>
        <w:t>项目建设工作，建设内容包括：特殊教育教学系统、学校综合管理系统、社会适应实践平台兑换一体机、AI语音播报小屏打印机等。</w:t>
      </w:r>
    </w:p>
    <w:p>
      <w:pPr>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（4）交付期限：</w:t>
      </w:r>
      <w:r>
        <w:rPr>
          <w:rFonts w:hint="eastAsia" w:ascii="仿宋" w:hAnsi="仿宋" w:eastAsia="仿宋" w:cs="仿宋"/>
          <w:sz w:val="24"/>
          <w:highlight w:val="none"/>
        </w:rPr>
        <w:t>签订合同后</w:t>
      </w:r>
      <w:r>
        <w:rPr>
          <w:rFonts w:hint="eastAsia" w:ascii="仿宋" w:hAnsi="仿宋" w:eastAsia="仿宋" w:cs="仿宋"/>
          <w:sz w:val="24"/>
          <w:highlight w:val="none"/>
        </w:rPr>
        <w:t>6</w:t>
      </w:r>
      <w:r>
        <w:rPr>
          <w:rFonts w:hint="eastAsia" w:ascii="仿宋" w:hAnsi="仿宋" w:eastAsia="仿宋" w:cs="仿宋"/>
          <w:sz w:val="24"/>
          <w:highlight w:val="none"/>
        </w:rPr>
        <w:t>个月内，或报价人有更短的交付期。</w:t>
      </w:r>
    </w:p>
    <w:p>
      <w:pPr>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（5）交货地点：浙江省丽水市</w:t>
      </w:r>
      <w:r>
        <w:rPr>
          <w:rFonts w:hint="eastAsia" w:ascii="仿宋" w:hAnsi="仿宋" w:eastAsia="仿宋" w:cs="仿宋"/>
          <w:kern w:val="0"/>
          <w:sz w:val="24"/>
          <w:highlight w:val="none"/>
        </w:rPr>
        <w:t>景宁县。</w:t>
      </w:r>
    </w:p>
    <w:p>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（6）质量要求：</w:t>
      </w:r>
      <w:r>
        <w:rPr>
          <w:rFonts w:hint="eastAsia" w:ascii="仿宋" w:hAnsi="仿宋" w:eastAsia="仿宋" w:cs="仿宋"/>
          <w:sz w:val="24"/>
          <w:szCs w:val="24"/>
          <w:highlight w:val="none"/>
        </w:rPr>
        <w:t>谈判响应人报价的技术服务条件需优于或等于本次报价文件标注的技术要求。</w:t>
      </w:r>
    </w:p>
    <w:p>
      <w:pPr>
        <w:pStyle w:val="5"/>
        <w:rPr>
          <w:rFonts w:hint="eastAsia" w:cs="仿宋"/>
          <w:highlight w:val="none"/>
        </w:rPr>
      </w:pPr>
      <w:bookmarkStart w:id="11" w:name="_Toc58490763"/>
      <w:r>
        <w:rPr>
          <w:rFonts w:hint="eastAsia" w:cs="仿宋"/>
          <w:highlight w:val="none"/>
        </w:rPr>
        <w:t>3、响应人资格要求</w:t>
      </w:r>
      <w:bookmarkEnd w:id="11"/>
    </w:p>
    <w:p>
      <w:pPr>
        <w:spacing w:line="360" w:lineRule="auto"/>
        <w:ind w:firstLine="482"/>
        <w:rPr>
          <w:rFonts w:hint="eastAsia" w:ascii="仿宋" w:hAnsi="仿宋" w:eastAsia="仿宋" w:cs="仿宋"/>
          <w:sz w:val="24"/>
          <w:highlight w:val="none"/>
        </w:rPr>
      </w:pPr>
      <w:r>
        <w:rPr>
          <w:rFonts w:hint="eastAsia" w:ascii="仿宋" w:hAnsi="仿宋" w:eastAsia="仿宋" w:cs="仿宋"/>
          <w:sz w:val="24"/>
          <w:highlight w:val="none"/>
        </w:rPr>
        <w:t>本次竞争性谈判要求响应人具备以下条件：</w:t>
      </w:r>
    </w:p>
    <w:p>
      <w:pPr>
        <w:pStyle w:val="14"/>
        <w:numPr>
          <w:ilvl w:val="0"/>
          <w:numId w:val="3"/>
        </w:numPr>
        <w:spacing w:line="360" w:lineRule="auto"/>
        <w:ind w:right="31" w:firstLine="480" w:firstLineChars="200"/>
        <w:rPr>
          <w:rFonts w:hint="eastAsia" w:ascii="仿宋" w:hAnsi="仿宋" w:eastAsia="仿宋" w:cs="仿宋"/>
          <w:kern w:val="0"/>
          <w:sz w:val="24"/>
          <w:szCs w:val="24"/>
          <w:highlight w:val="none"/>
        </w:rPr>
      </w:pPr>
      <w:bookmarkStart w:id="12" w:name="_Toc58490764"/>
      <w:r>
        <w:rPr>
          <w:rFonts w:hint="eastAsia" w:ascii="仿宋" w:hAnsi="仿宋" w:eastAsia="仿宋" w:cs="仿宋"/>
          <w:kern w:val="0"/>
          <w:sz w:val="24"/>
          <w:szCs w:val="24"/>
          <w:highlight w:val="none"/>
        </w:rPr>
        <w:t>报价人须是在中国境内注册的企业法人，营业执照经营范围涵盖计算机软硬件、信息技术领域内的技术开发、技术服务、软件开发、系统集成服务等相关内容；具有增值税一般纳税人资格；具备</w:t>
      </w:r>
      <w:r>
        <w:rPr>
          <w:rFonts w:hint="eastAsia" w:ascii="仿宋" w:hAnsi="仿宋" w:eastAsia="仿宋" w:cs="仿宋"/>
          <w:kern w:val="0"/>
          <w:sz w:val="24"/>
          <w:szCs w:val="24"/>
          <w:highlight w:val="none"/>
        </w:rPr>
        <w:t>信息技术服务管理体系认证证书</w:t>
      </w:r>
      <w:r>
        <w:rPr>
          <w:rFonts w:hint="eastAsia" w:ascii="仿宋" w:hAnsi="仿宋" w:eastAsia="仿宋" w:cs="仿宋"/>
          <w:kern w:val="0"/>
          <w:sz w:val="24"/>
          <w:szCs w:val="24"/>
          <w:highlight w:val="none"/>
        </w:rPr>
        <w:t>及信息安全管理体系认证等内容；</w:t>
      </w:r>
    </w:p>
    <w:p>
      <w:pPr>
        <w:pStyle w:val="14"/>
        <w:numPr>
          <w:ilvl w:val="0"/>
          <w:numId w:val="3"/>
        </w:numPr>
        <w:spacing w:line="360" w:lineRule="auto"/>
        <w:ind w:right="31"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2022年以来签订的软件开发类业绩证明，提供业绩证明不少于3份 (附合同扫描件且必须清晰)</w:t>
      </w:r>
      <w:r>
        <w:rPr>
          <w:rFonts w:hint="eastAsia" w:ascii="仿宋" w:hAnsi="仿宋" w:eastAsia="仿宋" w:cs="仿宋"/>
          <w:kern w:val="0"/>
          <w:sz w:val="24"/>
          <w:szCs w:val="24"/>
          <w:highlight w:val="none"/>
        </w:rPr>
        <w:t>。</w:t>
      </w:r>
    </w:p>
    <w:p>
      <w:pPr>
        <w:pStyle w:val="14"/>
        <w:numPr>
          <w:ilvl w:val="0"/>
          <w:numId w:val="3"/>
        </w:numPr>
        <w:spacing w:line="360" w:lineRule="auto"/>
        <w:ind w:right="31"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具有良好的银行资信和商业信誉，近三年没有发生过被责令停产、停业、财产被接管、冻结、破产状态。无因响应人违约或不恰当履约引起的合同中止、纠纷、争议、仲裁和诉讼记录，没有严重违约及重大质量问题；</w:t>
      </w:r>
    </w:p>
    <w:p>
      <w:pPr>
        <w:pStyle w:val="14"/>
        <w:spacing w:line="360" w:lineRule="auto"/>
        <w:ind w:right="31"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 具有履行合同所必须的专业技术能力；</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5. 不接受联合体报价。</w:t>
      </w:r>
    </w:p>
    <w:p>
      <w:pPr>
        <w:pStyle w:val="5"/>
        <w:rPr>
          <w:rFonts w:hint="eastAsia" w:cs="仿宋"/>
          <w:highlight w:val="none"/>
        </w:rPr>
      </w:pPr>
      <w:r>
        <w:rPr>
          <w:rFonts w:hint="eastAsia" w:cs="仿宋"/>
          <w:highlight w:val="none"/>
        </w:rPr>
        <w:t>4、竞争性谈判文件的获取</w:t>
      </w:r>
      <w:bookmarkEnd w:id="12"/>
    </w:p>
    <w:p>
      <w:pPr>
        <w:widowControl/>
        <w:wordWrap w:val="0"/>
        <w:spacing w:line="360" w:lineRule="auto"/>
        <w:ind w:firstLine="480" w:firstLineChars="200"/>
        <w:rPr>
          <w:rFonts w:hint="eastAsia" w:ascii="仿宋" w:hAnsi="仿宋" w:eastAsia="仿宋" w:cs="仿宋"/>
          <w:b/>
          <w:bCs/>
          <w:sz w:val="24"/>
          <w:szCs w:val="24"/>
          <w:highlight w:val="none"/>
        </w:rPr>
      </w:pPr>
      <w:bookmarkStart w:id="13" w:name="_Toc58490765"/>
      <w:r>
        <w:rPr>
          <w:rFonts w:hint="eastAsia" w:ascii="仿宋" w:hAnsi="仿宋" w:eastAsia="仿宋" w:cs="仿宋"/>
          <w:kern w:val="0"/>
          <w:sz w:val="24"/>
          <w:szCs w:val="24"/>
          <w:highlight w:val="none"/>
        </w:rPr>
        <w:t xml:space="preserve">凡满足本次规定的响应人资格要求并有意参加报价者，请在本采购公告期间（2025年12 月 </w:t>
      </w:r>
      <w:r>
        <w:rPr>
          <w:rFonts w:hint="eastAsia" w:ascii="仿宋" w:hAnsi="仿宋" w:eastAsia="仿宋" w:cs="仿宋"/>
          <w:kern w:val="0"/>
          <w:sz w:val="24"/>
          <w:szCs w:val="24"/>
          <w:highlight w:val="none"/>
          <w:lang w:val="en-US" w:eastAsia="zh-CN"/>
        </w:rPr>
        <w:t>17</w:t>
      </w:r>
      <w:r>
        <w:rPr>
          <w:rFonts w:hint="eastAsia" w:ascii="仿宋" w:hAnsi="仿宋" w:eastAsia="仿宋" w:cs="仿宋"/>
          <w:kern w:val="0"/>
          <w:sz w:val="24"/>
          <w:szCs w:val="24"/>
          <w:highlight w:val="none"/>
        </w:rPr>
        <w:t xml:space="preserve"> 日 1</w:t>
      </w:r>
      <w:r>
        <w:rPr>
          <w:rFonts w:hint="eastAsia" w:ascii="仿宋" w:hAnsi="仿宋" w:eastAsia="仿宋" w:cs="仿宋"/>
          <w:kern w:val="0"/>
          <w:sz w:val="24"/>
          <w:szCs w:val="24"/>
          <w:highlight w:val="none"/>
          <w:lang w:val="en-US" w:eastAsia="zh-CN"/>
        </w:rPr>
        <w:t>0</w:t>
      </w:r>
      <w:r>
        <w:rPr>
          <w:rFonts w:hint="eastAsia" w:ascii="仿宋" w:hAnsi="仿宋" w:eastAsia="仿宋" w:cs="仿宋"/>
          <w:kern w:val="0"/>
          <w:sz w:val="24"/>
          <w:szCs w:val="24"/>
          <w:highlight w:val="none"/>
        </w:rPr>
        <w:t xml:space="preserve">:00至2025年12 月 </w:t>
      </w:r>
      <w:r>
        <w:rPr>
          <w:rFonts w:hint="eastAsia" w:ascii="仿宋" w:hAnsi="仿宋" w:eastAsia="仿宋" w:cs="仿宋"/>
          <w:kern w:val="0"/>
          <w:sz w:val="24"/>
          <w:szCs w:val="24"/>
          <w:highlight w:val="none"/>
          <w:lang w:val="en-US" w:eastAsia="zh-CN"/>
        </w:rPr>
        <w:t>24</w:t>
      </w:r>
      <w:r>
        <w:rPr>
          <w:rFonts w:hint="eastAsia" w:ascii="仿宋" w:hAnsi="仿宋" w:eastAsia="仿宋" w:cs="仿宋"/>
          <w:kern w:val="0"/>
          <w:sz w:val="24"/>
          <w:szCs w:val="24"/>
          <w:highlight w:val="none"/>
        </w:rPr>
        <w:t>日 1</w:t>
      </w:r>
      <w:r>
        <w:rPr>
          <w:rFonts w:hint="eastAsia" w:ascii="仿宋" w:hAnsi="仿宋" w:eastAsia="仿宋" w:cs="仿宋"/>
          <w:kern w:val="0"/>
          <w:sz w:val="24"/>
          <w:szCs w:val="24"/>
          <w:highlight w:val="none"/>
          <w:lang w:val="en-US" w:eastAsia="zh-CN"/>
        </w:rPr>
        <w:t>0</w:t>
      </w:r>
      <w:r>
        <w:rPr>
          <w:rFonts w:hint="eastAsia" w:ascii="仿宋" w:hAnsi="仿宋" w:eastAsia="仿宋" w:cs="仿宋"/>
          <w:kern w:val="0"/>
          <w:sz w:val="24"/>
          <w:szCs w:val="24"/>
          <w:highlight w:val="none"/>
        </w:rPr>
        <w:t>:00）自行于公告处下载文件。</w:t>
      </w:r>
    </w:p>
    <w:p>
      <w:pPr>
        <w:pStyle w:val="5"/>
        <w:rPr>
          <w:rFonts w:hint="eastAsia" w:cs="仿宋"/>
          <w:highlight w:val="none"/>
        </w:rPr>
      </w:pPr>
      <w:r>
        <w:rPr>
          <w:rFonts w:hint="eastAsia" w:cs="仿宋"/>
          <w:highlight w:val="none"/>
        </w:rPr>
        <w:t>5、竞争性谈判响应文件的递交</w:t>
      </w:r>
      <w:bookmarkEnd w:id="13"/>
      <w:r>
        <w:rPr>
          <w:rFonts w:hint="eastAsia" w:cs="仿宋"/>
          <w:highlight w:val="none"/>
        </w:rPr>
        <w:t xml:space="preserve"> </w:t>
      </w:r>
    </w:p>
    <w:p>
      <w:pPr>
        <w:spacing w:line="360" w:lineRule="auto"/>
        <w:ind w:firstLine="480" w:firstLineChars="200"/>
        <w:rPr>
          <w:rFonts w:hint="eastAsia" w:ascii="仿宋" w:hAnsi="仿宋" w:eastAsia="仿宋" w:cs="仿宋"/>
          <w:sz w:val="24"/>
          <w:szCs w:val="24"/>
          <w:highlight w:val="none"/>
        </w:rPr>
      </w:pPr>
      <w:bookmarkStart w:id="14" w:name="_Toc58490766"/>
      <w:r>
        <w:rPr>
          <w:rFonts w:hint="eastAsia" w:ascii="仿宋" w:hAnsi="仿宋" w:eastAsia="仿宋" w:cs="仿宋"/>
          <w:kern w:val="0"/>
          <w:sz w:val="24"/>
          <w:szCs w:val="24"/>
          <w:highlight w:val="none"/>
        </w:rPr>
        <w:t xml:space="preserve">签字盖章版的报价文件（PDF格式）请于2025 年12月 </w:t>
      </w:r>
      <w:r>
        <w:rPr>
          <w:rFonts w:hint="eastAsia" w:ascii="仿宋" w:hAnsi="仿宋" w:eastAsia="仿宋" w:cs="仿宋"/>
          <w:kern w:val="0"/>
          <w:sz w:val="24"/>
          <w:szCs w:val="24"/>
          <w:highlight w:val="none"/>
          <w:lang w:val="en-US" w:eastAsia="zh-CN"/>
        </w:rPr>
        <w:t>24</w:t>
      </w:r>
      <w:r>
        <w:rPr>
          <w:rFonts w:hint="eastAsia" w:ascii="仿宋" w:hAnsi="仿宋" w:eastAsia="仿宋" w:cs="仿宋"/>
          <w:kern w:val="0"/>
          <w:sz w:val="24"/>
          <w:szCs w:val="24"/>
          <w:highlight w:val="none"/>
        </w:rPr>
        <w:t xml:space="preserve">  日 10 时前发送至采购人邮箱，邮箱地址</w:t>
      </w:r>
      <w:r>
        <w:rPr>
          <w:rFonts w:hint="eastAsia" w:ascii="仿宋" w:hAnsi="仿宋" w:eastAsia="仿宋" w:cs="仿宋"/>
          <w:kern w:val="0"/>
          <w:highlight w:val="none"/>
        </w:rPr>
        <w:t>miaorongrong-sd12@powerchina.cn</w:t>
      </w:r>
      <w:r>
        <w:rPr>
          <w:rFonts w:hint="eastAsia" w:ascii="仿宋" w:hAnsi="仿宋" w:eastAsia="仿宋" w:cs="仿宋"/>
          <w:kern w:val="0"/>
          <w:sz w:val="24"/>
          <w:szCs w:val="24"/>
          <w:highlight w:val="none"/>
        </w:rPr>
        <w:t>。逾期送达的或者未送达邮箱的报价文件，采购人不予受理</w:t>
      </w:r>
      <w:r>
        <w:rPr>
          <w:rFonts w:hint="eastAsia" w:ascii="仿宋" w:hAnsi="仿宋" w:eastAsia="仿宋" w:cs="仿宋"/>
          <w:sz w:val="24"/>
          <w:szCs w:val="24"/>
          <w:highlight w:val="none"/>
        </w:rPr>
        <w:t>。</w:t>
      </w:r>
    </w:p>
    <w:p>
      <w:pPr>
        <w:pStyle w:val="5"/>
        <w:rPr>
          <w:rFonts w:hint="eastAsia" w:cs="仿宋"/>
          <w:highlight w:val="none"/>
        </w:rPr>
      </w:pPr>
      <w:r>
        <w:rPr>
          <w:rFonts w:hint="eastAsia" w:cs="仿宋"/>
          <w:highlight w:val="none"/>
        </w:rPr>
        <w:t>6、联系方式</w:t>
      </w:r>
      <w:bookmarkEnd w:id="14"/>
    </w:p>
    <w:p>
      <w:pPr>
        <w:spacing w:line="360" w:lineRule="auto"/>
        <w:ind w:firstLine="480" w:firstLineChars="200"/>
        <w:rPr>
          <w:rFonts w:hint="eastAsia" w:ascii="仿宋" w:hAnsi="仿宋" w:eastAsia="仿宋" w:cs="仿宋"/>
          <w:sz w:val="24"/>
          <w:szCs w:val="24"/>
          <w:highlight w:val="none"/>
        </w:rPr>
      </w:pPr>
      <w:bookmarkStart w:id="15" w:name="_Toc58490767"/>
      <w:r>
        <w:rPr>
          <w:rFonts w:hint="eastAsia" w:ascii="仿宋" w:hAnsi="仿宋" w:eastAsia="仿宋" w:cs="仿宋"/>
          <w:sz w:val="24"/>
          <w:szCs w:val="24"/>
          <w:highlight w:val="none"/>
        </w:rPr>
        <w:t>采 购 人：中国水利水电第十二工程局有限公司</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    址：浙江省杭州市西湖区灯彩街321号水电十二局</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 系 人：缪绒绒</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    话：15755503991</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电子邮箱：miaorongrong-sd12@powerchina.cn</w:t>
      </w:r>
    </w:p>
    <w:bookmarkEnd w:id="15"/>
    <w:p>
      <w:pPr>
        <w:pStyle w:val="5"/>
        <w:rPr>
          <w:rFonts w:hint="eastAsia" w:cs="仿宋"/>
          <w:highlight w:val="none"/>
        </w:rPr>
      </w:pPr>
      <w:bookmarkStart w:id="16" w:name="_Toc58490768"/>
      <w:r>
        <w:rPr>
          <w:rFonts w:hint="eastAsia" w:cs="仿宋"/>
          <w:highlight w:val="none"/>
        </w:rPr>
        <w:t>7、纪检监督机构</w:t>
      </w:r>
      <w:bookmarkEnd w:id="16"/>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监督机构：中国水利水电第十二工程局有限公司纪委办公室</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监督电话：0571-86829047</w:t>
      </w:r>
    </w:p>
    <w:p>
      <w:pPr>
        <w:spacing w:line="360" w:lineRule="auto"/>
        <w:ind w:firstLine="6600" w:firstLineChars="2750"/>
        <w:rPr>
          <w:rFonts w:hint="eastAsia" w:ascii="仿宋" w:hAnsi="仿宋" w:eastAsia="仿宋" w:cs="仿宋"/>
          <w:sz w:val="24"/>
          <w:highlight w:val="none"/>
        </w:rPr>
      </w:pPr>
    </w:p>
    <w:p>
      <w:pPr>
        <w:spacing w:line="360" w:lineRule="auto"/>
        <w:ind w:firstLine="6600" w:firstLineChars="2750"/>
        <w:rPr>
          <w:rFonts w:hint="eastAsia" w:ascii="仿宋" w:hAnsi="仿宋" w:eastAsia="仿宋" w:cs="仿宋"/>
          <w:sz w:val="24"/>
          <w:highlight w:val="none"/>
        </w:rPr>
      </w:pPr>
    </w:p>
    <w:p>
      <w:pPr>
        <w:spacing w:line="360" w:lineRule="auto"/>
        <w:ind w:firstLine="6600" w:firstLineChars="2750"/>
        <w:rPr>
          <w:rFonts w:hint="eastAsia" w:ascii="仿宋" w:hAnsi="仿宋" w:eastAsia="仿宋" w:cs="仿宋"/>
          <w:sz w:val="24"/>
          <w:highlight w:val="none"/>
        </w:rPr>
      </w:pPr>
    </w:p>
    <w:p>
      <w:pPr>
        <w:spacing w:line="360" w:lineRule="auto"/>
        <w:ind w:firstLine="6600" w:firstLineChars="2750"/>
        <w:rPr>
          <w:rFonts w:hint="eastAsia" w:ascii="仿宋" w:hAnsi="仿宋" w:eastAsia="仿宋" w:cs="仿宋"/>
          <w:sz w:val="24"/>
          <w:highlight w:val="none"/>
        </w:rPr>
      </w:pPr>
    </w:p>
    <w:p>
      <w:pPr>
        <w:spacing w:line="360" w:lineRule="auto"/>
        <w:ind w:firstLine="6600" w:firstLineChars="2750"/>
        <w:rPr>
          <w:rFonts w:hint="eastAsia" w:ascii="仿宋" w:hAnsi="仿宋" w:eastAsia="仿宋" w:cs="仿宋"/>
          <w:sz w:val="24"/>
          <w:highlight w:val="none"/>
        </w:rPr>
      </w:pPr>
    </w:p>
    <w:p>
      <w:pPr>
        <w:spacing w:line="360" w:lineRule="auto"/>
        <w:ind w:firstLine="6600" w:firstLineChars="2750"/>
        <w:rPr>
          <w:rFonts w:hint="eastAsia" w:ascii="仿宋" w:hAnsi="仿宋" w:eastAsia="仿宋" w:cs="仿宋"/>
          <w:sz w:val="24"/>
          <w:highlight w:val="none"/>
        </w:rPr>
      </w:pPr>
      <w:r>
        <w:rPr>
          <w:rFonts w:hint="eastAsia" w:ascii="仿宋" w:hAnsi="仿宋" w:eastAsia="仿宋" w:cs="仿宋"/>
          <w:sz w:val="24"/>
          <w:highlight w:val="none"/>
        </w:rPr>
        <w:t xml:space="preserve"> 2025年12月 </w:t>
      </w:r>
      <w:r>
        <w:rPr>
          <w:rFonts w:hint="eastAsia" w:ascii="仿宋" w:hAnsi="仿宋" w:eastAsia="仿宋" w:cs="仿宋"/>
          <w:sz w:val="24"/>
          <w:highlight w:val="none"/>
          <w:lang w:val="en-US" w:eastAsia="zh-CN"/>
        </w:rPr>
        <w:t>17</w:t>
      </w:r>
      <w:r>
        <w:rPr>
          <w:rFonts w:hint="eastAsia" w:ascii="仿宋" w:hAnsi="仿宋" w:eastAsia="仿宋" w:cs="仿宋"/>
          <w:sz w:val="24"/>
          <w:highlight w:val="none"/>
        </w:rPr>
        <w:t xml:space="preserve"> 日</w:t>
      </w:r>
    </w:p>
    <w:p>
      <w:pPr>
        <w:pStyle w:val="4"/>
        <w:rPr>
          <w:rFonts w:hint="eastAsia" w:cs="仿宋"/>
          <w:highlight w:val="none"/>
        </w:rPr>
      </w:pPr>
      <w:r>
        <w:rPr>
          <w:rFonts w:hint="eastAsia" w:cs="仿宋"/>
          <w:highlight w:val="none"/>
        </w:rPr>
        <w:br w:type="page"/>
      </w:r>
      <w:bookmarkEnd w:id="7"/>
      <w:bookmarkStart w:id="17" w:name="第二章"/>
      <w:bookmarkEnd w:id="17"/>
      <w:bookmarkStart w:id="18" w:name="_Toc58490778"/>
      <w:bookmarkStart w:id="19" w:name="_Toc27330"/>
      <w:bookmarkStart w:id="20" w:name="_Toc426312933"/>
      <w:bookmarkStart w:id="21" w:name="_Toc391543278"/>
      <w:bookmarkStart w:id="22" w:name="_Toc15244"/>
      <w:bookmarkStart w:id="23" w:name="_Toc434479600"/>
      <w:bookmarkStart w:id="24" w:name="_Toc426313037"/>
      <w:bookmarkStart w:id="25" w:name="_Toc289856476"/>
      <w:r>
        <w:rPr>
          <w:rFonts w:hint="eastAsia" w:cs="仿宋"/>
          <w:highlight w:val="none"/>
        </w:rPr>
        <w:t>第二章  谈判响应人须知</w:t>
      </w:r>
      <w:bookmarkEnd w:id="18"/>
    </w:p>
    <w:p>
      <w:pPr>
        <w:spacing w:after="312" w:afterLines="100" w:line="320" w:lineRule="exact"/>
        <w:jc w:val="center"/>
        <w:rPr>
          <w:rFonts w:hint="eastAsia" w:ascii="仿宋" w:hAnsi="仿宋" w:eastAsia="仿宋" w:cs="仿宋"/>
          <w:b/>
          <w:sz w:val="28"/>
          <w:szCs w:val="24"/>
          <w:highlight w:val="none"/>
        </w:rPr>
      </w:pPr>
      <w:bookmarkStart w:id="26" w:name="_Toc449101783"/>
      <w:bookmarkStart w:id="27" w:name="投标人须知前附表"/>
      <w:r>
        <w:rPr>
          <w:rFonts w:hint="eastAsia" w:ascii="仿宋" w:hAnsi="仿宋" w:eastAsia="仿宋" w:cs="仿宋"/>
          <w:b/>
          <w:sz w:val="28"/>
          <w:szCs w:val="24"/>
          <w:highlight w:val="none"/>
        </w:rPr>
        <w:t>谈判响应人须知前附表</w:t>
      </w:r>
      <w:bookmarkEnd w:id="19"/>
      <w:bookmarkEnd w:id="20"/>
      <w:bookmarkEnd w:id="21"/>
      <w:bookmarkEnd w:id="22"/>
      <w:bookmarkEnd w:id="23"/>
      <w:bookmarkEnd w:id="24"/>
      <w:bookmarkEnd w:id="25"/>
      <w:bookmarkEnd w:id="26"/>
    </w:p>
    <w:bookmarkEnd w:id="27"/>
    <w:tbl>
      <w:tblPr>
        <w:tblStyle w:val="21"/>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382"/>
        <w:gridCol w:w="6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43"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条款号</w:t>
            </w:r>
          </w:p>
        </w:tc>
        <w:tc>
          <w:tcPr>
            <w:tcW w:w="2382"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条  款  名  称</w:t>
            </w:r>
          </w:p>
        </w:tc>
        <w:tc>
          <w:tcPr>
            <w:tcW w:w="6257"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82"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响应人提出澄清截止时间</w:t>
            </w:r>
          </w:p>
        </w:tc>
        <w:tc>
          <w:tcPr>
            <w:tcW w:w="6257"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val="zh-CN"/>
              </w:rPr>
              <w:t>20</w:t>
            </w:r>
            <w:r>
              <w:rPr>
                <w:rFonts w:hint="eastAsia" w:ascii="仿宋" w:hAnsi="仿宋" w:eastAsia="仿宋" w:cs="仿宋"/>
                <w:sz w:val="24"/>
                <w:szCs w:val="24"/>
                <w:highlight w:val="none"/>
                <w:u w:val="single"/>
              </w:rPr>
              <w:t>25</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12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23</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r>
              <w:rPr>
                <w:rFonts w:hint="eastAsia" w:ascii="仿宋" w:hAnsi="仿宋" w:eastAsia="仿宋" w:cs="仿宋"/>
                <w:sz w:val="24"/>
                <w:szCs w:val="24"/>
                <w:highlight w:val="none"/>
                <w:u w:val="single"/>
              </w:rPr>
              <w:t>16</w:t>
            </w:r>
            <w:r>
              <w:rPr>
                <w:rFonts w:hint="eastAsia" w:ascii="仿宋" w:hAnsi="仿宋" w:eastAsia="仿宋" w:cs="仿宋"/>
                <w:sz w:val="24"/>
                <w:szCs w:val="24"/>
                <w:highlight w:val="none"/>
                <w:lang w:val="zh-CN"/>
              </w:rPr>
              <w:t>时</w:t>
            </w:r>
            <w:r>
              <w:rPr>
                <w:rFonts w:hint="eastAsia" w:ascii="仿宋" w:hAnsi="仿宋" w:eastAsia="仿宋" w:cs="仿宋"/>
                <w:sz w:val="24"/>
                <w:szCs w:val="24"/>
                <w:highlight w:val="none"/>
                <w:u w:val="single"/>
                <w:lang w:val="zh-CN"/>
              </w:rPr>
              <w:t>00</w:t>
            </w:r>
            <w:r>
              <w:rPr>
                <w:rFonts w:hint="eastAsia" w:ascii="仿宋" w:hAnsi="仿宋" w:eastAsia="仿宋" w:cs="仿宋"/>
                <w:sz w:val="24"/>
                <w:szCs w:val="24"/>
                <w:highlight w:val="none"/>
                <w:lang w:val="zh-CN"/>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382"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谈判文件修改截止时间</w:t>
            </w:r>
          </w:p>
        </w:tc>
        <w:tc>
          <w:tcPr>
            <w:tcW w:w="6257"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val="zh-CN"/>
              </w:rPr>
              <w:t>20</w:t>
            </w:r>
            <w:r>
              <w:rPr>
                <w:rFonts w:hint="eastAsia" w:ascii="仿宋" w:hAnsi="仿宋" w:eastAsia="仿宋" w:cs="仿宋"/>
                <w:sz w:val="24"/>
                <w:szCs w:val="24"/>
                <w:highlight w:val="none"/>
                <w:u w:val="single"/>
              </w:rPr>
              <w:t>25</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12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24</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val="zh-CN"/>
              </w:rPr>
              <w:t>时</w:t>
            </w:r>
            <w:r>
              <w:rPr>
                <w:rFonts w:hint="eastAsia" w:ascii="仿宋" w:hAnsi="仿宋" w:eastAsia="仿宋" w:cs="仿宋"/>
                <w:sz w:val="24"/>
                <w:szCs w:val="24"/>
                <w:highlight w:val="none"/>
                <w:u w:val="single"/>
                <w:lang w:val="zh-CN"/>
              </w:rPr>
              <w:t>00</w:t>
            </w:r>
            <w:r>
              <w:rPr>
                <w:rFonts w:hint="eastAsia" w:ascii="仿宋" w:hAnsi="仿宋" w:eastAsia="仿宋" w:cs="仿宋"/>
                <w:sz w:val="24"/>
                <w:szCs w:val="24"/>
                <w:highlight w:val="none"/>
                <w:lang w:val="zh-CN"/>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382"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6257"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补充详细要求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382"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谈判有效期</w:t>
            </w:r>
          </w:p>
        </w:tc>
        <w:tc>
          <w:tcPr>
            <w:tcW w:w="6257"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90 </w:t>
            </w:r>
            <w:r>
              <w:rPr>
                <w:rFonts w:hint="eastAsia" w:ascii="仿宋" w:hAnsi="仿宋" w:eastAsia="仿宋" w:cs="仿宋"/>
                <w:sz w:val="24"/>
                <w:szCs w:val="24"/>
                <w:highlight w:val="none"/>
                <w:lang w:val="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43" w:type="dxa"/>
            <w:vMerge w:val="restart"/>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382"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响应文件份数</w:t>
            </w:r>
          </w:p>
        </w:tc>
        <w:tc>
          <w:tcPr>
            <w:tcW w:w="6257"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43" w:type="dxa"/>
            <w:vMerge w:val="continue"/>
            <w:vAlign w:val="center"/>
          </w:tcPr>
          <w:p>
            <w:pPr>
              <w:spacing w:line="320" w:lineRule="exact"/>
              <w:jc w:val="center"/>
              <w:rPr>
                <w:rFonts w:hint="eastAsia" w:ascii="仿宋" w:hAnsi="仿宋" w:eastAsia="仿宋" w:cs="仿宋"/>
                <w:sz w:val="24"/>
                <w:szCs w:val="24"/>
                <w:highlight w:val="none"/>
              </w:rPr>
            </w:pPr>
          </w:p>
        </w:tc>
        <w:tc>
          <w:tcPr>
            <w:tcW w:w="2382" w:type="dxa"/>
            <w:vAlign w:val="center"/>
          </w:tcPr>
          <w:p>
            <w:pPr>
              <w:pStyle w:val="27"/>
              <w:spacing w:line="240" w:lineRule="atLeast"/>
              <w:jc w:val="center"/>
              <w:rPr>
                <w:rFonts w:hint="eastAsia" w:ascii="仿宋" w:hAnsi="仿宋" w:eastAsia="仿宋" w:cs="仿宋"/>
                <w:highlight w:val="none"/>
                <w:lang w:val="zh-CN"/>
              </w:rPr>
            </w:pPr>
            <w:r>
              <w:rPr>
                <w:rFonts w:hint="eastAsia" w:ascii="仿宋" w:hAnsi="仿宋" w:eastAsia="仿宋" w:cs="仿宋"/>
                <w:highlight w:val="none"/>
                <w:lang w:val="zh-CN"/>
              </w:rPr>
              <w:t>装订要求详见须知前附表</w:t>
            </w:r>
          </w:p>
        </w:tc>
        <w:tc>
          <w:tcPr>
            <w:tcW w:w="6257" w:type="dxa"/>
            <w:vAlign w:val="center"/>
          </w:tcPr>
          <w:p>
            <w:pPr>
              <w:pStyle w:val="27"/>
              <w:spacing w:line="240" w:lineRule="atLeast"/>
              <w:rPr>
                <w:rFonts w:hint="eastAsia" w:ascii="仿宋" w:hAnsi="仿宋" w:eastAsia="仿宋" w:cs="仿宋"/>
                <w:highlight w:val="none"/>
                <w:lang w:val="zh-CN"/>
              </w:rPr>
            </w:pPr>
            <w:r>
              <w:rPr>
                <w:rFonts w:hint="eastAsia" w:ascii="仿宋" w:hAnsi="仿宋" w:eastAsia="仿宋" w:cs="仿宋"/>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43" w:type="dxa"/>
            <w:vMerge w:val="continue"/>
            <w:vAlign w:val="center"/>
          </w:tcPr>
          <w:p>
            <w:pPr>
              <w:spacing w:line="320" w:lineRule="exact"/>
              <w:jc w:val="center"/>
              <w:rPr>
                <w:rFonts w:hint="eastAsia" w:ascii="仿宋" w:hAnsi="仿宋" w:eastAsia="仿宋" w:cs="仿宋"/>
                <w:sz w:val="24"/>
                <w:szCs w:val="24"/>
                <w:highlight w:val="none"/>
              </w:rPr>
            </w:pPr>
          </w:p>
        </w:tc>
        <w:tc>
          <w:tcPr>
            <w:tcW w:w="2382"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kern w:val="0"/>
                <w:sz w:val="24"/>
                <w:highlight w:val="none"/>
              </w:rPr>
              <w:t>密封要求详见须知前附表</w:t>
            </w:r>
          </w:p>
        </w:tc>
        <w:tc>
          <w:tcPr>
            <w:tcW w:w="6257" w:type="dxa"/>
            <w:vAlign w:val="center"/>
          </w:tcPr>
          <w:p>
            <w:pPr>
              <w:pStyle w:val="27"/>
              <w:jc w:val="both"/>
              <w:rPr>
                <w:rFonts w:hint="eastAsia" w:ascii="仿宋" w:hAnsi="仿宋" w:eastAsia="仿宋" w:cs="仿宋"/>
                <w:b/>
                <w:kern w:val="0"/>
                <w:highlight w:val="none"/>
              </w:rPr>
            </w:pPr>
            <w:r>
              <w:rPr>
                <w:rFonts w:hint="eastAsia" w:ascii="仿宋" w:hAnsi="仿宋" w:eastAsia="仿宋" w:cs="仿宋"/>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3" w:type="dxa"/>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382" w:type="dxa"/>
            <w:vAlign w:val="center"/>
          </w:tcPr>
          <w:p>
            <w:pPr>
              <w:spacing w:line="320" w:lineRule="exact"/>
              <w:jc w:val="center"/>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rPr>
              <w:t>谈判人员要求</w:t>
            </w:r>
          </w:p>
        </w:tc>
        <w:tc>
          <w:tcPr>
            <w:tcW w:w="6257" w:type="dxa"/>
            <w:vAlign w:val="center"/>
          </w:tcPr>
          <w:p>
            <w:pPr>
              <w:pStyle w:val="27"/>
              <w:snapToGrid w:val="0"/>
              <w:spacing w:line="240" w:lineRule="atLeast"/>
              <w:rPr>
                <w:rFonts w:hint="eastAsia" w:ascii="仿宋" w:hAnsi="仿宋" w:eastAsia="仿宋" w:cs="仿宋"/>
                <w:b/>
                <w:highlight w:val="none"/>
              </w:rPr>
            </w:pPr>
            <w:r>
              <w:rPr>
                <w:rFonts w:hint="eastAsia" w:ascii="仿宋" w:hAnsi="仿宋" w:eastAsia="仿宋" w:cs="仿宋"/>
                <w:b/>
                <w:highlight w:val="none"/>
              </w:rPr>
              <w:t>响应人的法定代表人或委托代理人和相关技术人员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38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需要补充的其他内容</w:t>
            </w:r>
          </w:p>
        </w:tc>
        <w:tc>
          <w:tcPr>
            <w:tcW w:w="6257" w:type="dxa"/>
            <w:tcBorders>
              <w:top w:val="single" w:color="auto" w:sz="4" w:space="0"/>
              <w:left w:val="single" w:color="auto" w:sz="4" w:space="0"/>
              <w:bottom w:val="single" w:color="auto" w:sz="4" w:space="0"/>
              <w:right w:val="single" w:color="auto" w:sz="4" w:space="0"/>
            </w:tcBorders>
            <w:vAlign w:val="center"/>
          </w:tcPr>
          <w:p>
            <w:pPr>
              <w:pStyle w:val="27"/>
              <w:rPr>
                <w:rFonts w:hint="eastAsia" w:ascii="仿宋" w:hAnsi="仿宋" w:eastAsia="仿宋" w:cs="仿宋"/>
                <w:highlight w:val="none"/>
              </w:rPr>
            </w:pPr>
            <w:r>
              <w:rPr>
                <w:rFonts w:hint="eastAsia" w:ascii="仿宋" w:hAnsi="仿宋" w:eastAsia="仿宋" w:cs="仿宋"/>
                <w:highlight w:val="none"/>
              </w:rPr>
              <w:t>无</w:t>
            </w:r>
          </w:p>
        </w:tc>
      </w:tr>
    </w:tbl>
    <w:p>
      <w:pPr>
        <w:pStyle w:val="5"/>
        <w:rPr>
          <w:rFonts w:hint="eastAsia" w:cs="仿宋"/>
          <w:highlight w:val="none"/>
        </w:rPr>
      </w:pPr>
      <w:r>
        <w:rPr>
          <w:rFonts w:hint="eastAsia" w:cs="仿宋"/>
          <w:sz w:val="24"/>
          <w:highlight w:val="none"/>
        </w:rPr>
        <w:br w:type="page"/>
      </w:r>
      <w:bookmarkStart w:id="28" w:name="_Toc58490779"/>
      <w:bookmarkStart w:id="29" w:name="_Toc434479601"/>
      <w:bookmarkStart w:id="30" w:name="_Toc433814078"/>
      <w:bookmarkStart w:id="31" w:name="总则"/>
      <w:r>
        <w:rPr>
          <w:rFonts w:hint="eastAsia" w:cs="仿宋"/>
          <w:highlight w:val="none"/>
        </w:rPr>
        <w:t>1、谈判费用</w:t>
      </w:r>
      <w:bookmarkEnd w:id="28"/>
      <w:bookmarkEnd w:id="29"/>
      <w:bookmarkEnd w:id="30"/>
    </w:p>
    <w:bookmarkEnd w:id="31"/>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不论谈判采购结果如何，响应人参与本次谈判采购，包括现场踏勘、组织编写和提交谈判响应文件及谈判过程中的一切费用均由响应人自理。 </w:t>
      </w:r>
    </w:p>
    <w:p>
      <w:pPr>
        <w:pStyle w:val="5"/>
        <w:rPr>
          <w:rFonts w:hint="eastAsia" w:cs="仿宋"/>
          <w:highlight w:val="none"/>
        </w:rPr>
      </w:pPr>
      <w:bookmarkStart w:id="32" w:name="_Toc429570968"/>
      <w:bookmarkStart w:id="33" w:name="_Toc433814079"/>
      <w:bookmarkStart w:id="34" w:name="_Toc431150202"/>
      <w:bookmarkStart w:id="35" w:name="_Toc434479602"/>
      <w:bookmarkStart w:id="36" w:name="_Toc58490780"/>
      <w:r>
        <w:rPr>
          <w:rFonts w:hint="eastAsia" w:cs="仿宋"/>
          <w:highlight w:val="none"/>
        </w:rPr>
        <w:t>2、</w:t>
      </w:r>
      <w:bookmarkEnd w:id="32"/>
      <w:bookmarkStart w:id="37" w:name="竞争性谈判"/>
      <w:r>
        <w:rPr>
          <w:rFonts w:hint="eastAsia" w:cs="仿宋"/>
          <w:highlight w:val="none"/>
        </w:rPr>
        <w:t>谈判</w:t>
      </w:r>
      <w:bookmarkEnd w:id="33"/>
      <w:bookmarkEnd w:id="34"/>
      <w:bookmarkEnd w:id="35"/>
      <w:r>
        <w:rPr>
          <w:rFonts w:hint="eastAsia" w:cs="仿宋"/>
          <w:highlight w:val="none"/>
        </w:rPr>
        <w:t>文件</w:t>
      </w:r>
      <w:bookmarkEnd w:id="36"/>
      <w:r>
        <w:rPr>
          <w:rFonts w:hint="eastAsia" w:cs="仿宋"/>
          <w:highlight w:val="none"/>
        </w:rPr>
        <w:t xml:space="preserve"> </w:t>
      </w:r>
      <w:bookmarkEnd w:id="37"/>
    </w:p>
    <w:p>
      <w:pPr>
        <w:pStyle w:val="6"/>
        <w:rPr>
          <w:rFonts w:hint="eastAsia" w:cs="仿宋"/>
          <w:highlight w:val="none"/>
        </w:rPr>
      </w:pPr>
      <w:bookmarkStart w:id="38" w:name="_Toc58490781"/>
      <w:bookmarkStart w:id="39" w:name="_Toc514919738"/>
      <w:bookmarkStart w:id="40" w:name="_Toc514920888"/>
      <w:bookmarkStart w:id="41" w:name="_Toc449101789"/>
      <w:bookmarkStart w:id="42" w:name="_Toc444296335"/>
      <w:r>
        <w:rPr>
          <w:rFonts w:hint="eastAsia" w:cs="仿宋"/>
          <w:highlight w:val="none"/>
        </w:rPr>
        <w:t>2.1  谈判文件</w:t>
      </w:r>
      <w:bookmarkEnd w:id="38"/>
      <w:bookmarkEnd w:id="39"/>
      <w:bookmarkEnd w:id="40"/>
      <w:bookmarkEnd w:id="41"/>
      <w:bookmarkEnd w:id="42"/>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包括下表所列文件： </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692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Borders>
              <w:top w:val="single" w:color="auto" w:sz="8" w:space="0"/>
            </w:tcBorders>
          </w:tcPr>
          <w:p>
            <w:pPr>
              <w:autoSpaceDE w:val="0"/>
              <w:autoSpaceDN w:val="0"/>
              <w:adjustRightInd w:val="0"/>
              <w:spacing w:before="100" w:after="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章号</w:t>
            </w:r>
          </w:p>
        </w:tc>
        <w:tc>
          <w:tcPr>
            <w:tcW w:w="6925" w:type="dxa"/>
            <w:tcBorders>
              <w:top w:val="single" w:color="auto" w:sz="8" w:space="0"/>
            </w:tcBorders>
          </w:tcPr>
          <w:p>
            <w:pPr>
              <w:autoSpaceDE w:val="0"/>
              <w:autoSpaceDN w:val="0"/>
              <w:adjustRightInd w:val="0"/>
              <w:spacing w:before="100" w:after="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一</w:t>
            </w:r>
          </w:p>
        </w:tc>
        <w:tc>
          <w:tcPr>
            <w:tcW w:w="6925" w:type="dxa"/>
          </w:tcPr>
          <w:p>
            <w:pPr>
              <w:autoSpaceDE w:val="0"/>
              <w:autoSpaceDN w:val="0"/>
              <w:adjustRightInd w:val="0"/>
              <w:spacing w:before="100" w:after="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谈判采购公告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二</w:t>
            </w:r>
          </w:p>
        </w:tc>
        <w:tc>
          <w:tcPr>
            <w:tcW w:w="6925" w:type="dxa"/>
          </w:tcPr>
          <w:p>
            <w:pPr>
              <w:autoSpaceDE w:val="0"/>
              <w:autoSpaceDN w:val="0"/>
              <w:adjustRightInd w:val="0"/>
              <w:spacing w:before="100" w:after="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谈判响应人须知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三</w:t>
            </w:r>
          </w:p>
        </w:tc>
        <w:tc>
          <w:tcPr>
            <w:tcW w:w="6925" w:type="dxa"/>
          </w:tcPr>
          <w:p>
            <w:pPr>
              <w:autoSpaceDE w:val="0"/>
              <w:autoSpaceDN w:val="0"/>
              <w:adjustRightInd w:val="0"/>
              <w:spacing w:before="100" w:after="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合同条款及格式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四</w:t>
            </w:r>
          </w:p>
        </w:tc>
        <w:tc>
          <w:tcPr>
            <w:tcW w:w="6925" w:type="dxa"/>
          </w:tcPr>
          <w:p>
            <w:pPr>
              <w:autoSpaceDE w:val="0"/>
              <w:autoSpaceDN w:val="0"/>
              <w:adjustRightInd w:val="0"/>
              <w:spacing w:before="100" w:after="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响应文件格式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五</w:t>
            </w:r>
          </w:p>
        </w:tc>
        <w:tc>
          <w:tcPr>
            <w:tcW w:w="6925" w:type="dxa"/>
          </w:tcPr>
          <w:p>
            <w:pPr>
              <w:autoSpaceDE w:val="0"/>
              <w:autoSpaceDN w:val="0"/>
              <w:adjustRightInd w:val="0"/>
              <w:spacing w:before="100" w:after="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技术文件</w:t>
            </w:r>
          </w:p>
        </w:tc>
      </w:tr>
    </w:tbl>
    <w:p>
      <w:pPr>
        <w:spacing w:line="360" w:lineRule="exact"/>
        <w:rPr>
          <w:rFonts w:hint="eastAsia" w:ascii="仿宋" w:hAnsi="仿宋" w:eastAsia="仿宋" w:cs="仿宋"/>
          <w:sz w:val="24"/>
          <w:highlight w:val="none"/>
        </w:rPr>
      </w:pPr>
    </w:p>
    <w:p>
      <w:pPr>
        <w:pStyle w:val="6"/>
        <w:rPr>
          <w:rFonts w:hint="eastAsia" w:cs="仿宋"/>
          <w:highlight w:val="none"/>
        </w:rPr>
      </w:pPr>
      <w:bookmarkStart w:id="43" w:name="_Toc449101790"/>
      <w:bookmarkStart w:id="44" w:name="_Toc58490782"/>
      <w:bookmarkStart w:id="45" w:name="_Toc514919739"/>
      <w:bookmarkStart w:id="46" w:name="_Toc514920889"/>
      <w:bookmarkStart w:id="47" w:name="_Toc444296336"/>
      <w:r>
        <w:rPr>
          <w:rFonts w:hint="eastAsia" w:cs="仿宋"/>
          <w:highlight w:val="none"/>
        </w:rPr>
        <w:t>2.2  谈判采购文件的澄清</w:t>
      </w:r>
      <w:bookmarkEnd w:id="43"/>
      <w:bookmarkEnd w:id="44"/>
      <w:bookmarkEnd w:id="45"/>
      <w:bookmarkEnd w:id="46"/>
      <w:bookmarkEnd w:id="47"/>
      <w:r>
        <w:rPr>
          <w:rFonts w:hint="eastAsia" w:cs="仿宋"/>
          <w:highlight w:val="none"/>
        </w:rPr>
        <w:t xml:space="preserve"> </w:t>
      </w:r>
    </w:p>
    <w:p>
      <w:pPr>
        <w:autoSpaceDE w:val="0"/>
        <w:autoSpaceDN w:val="0"/>
        <w:adjustRightInd w:val="0"/>
        <w:spacing w:line="360" w:lineRule="auto"/>
        <w:ind w:firstLine="482"/>
        <w:rPr>
          <w:rFonts w:hint="eastAsia" w:ascii="仿宋" w:hAnsi="仿宋" w:eastAsia="仿宋" w:cs="仿宋"/>
          <w:sz w:val="24"/>
          <w:highlight w:val="none"/>
        </w:rPr>
      </w:pPr>
      <w:r>
        <w:rPr>
          <w:rFonts w:hint="eastAsia" w:ascii="仿宋" w:hAnsi="仿宋" w:eastAsia="仿宋" w:cs="仿宋"/>
          <w:kern w:val="0"/>
          <w:sz w:val="24"/>
          <w:highlight w:val="none"/>
        </w:rPr>
        <w:t>响应人对谈判采购文件</w:t>
      </w:r>
      <w:r>
        <w:rPr>
          <w:rFonts w:hint="eastAsia" w:ascii="仿宋" w:hAnsi="仿宋" w:eastAsia="仿宋" w:cs="仿宋"/>
          <w:sz w:val="24"/>
          <w:highlight w:val="none"/>
        </w:rPr>
        <w:t>有疑问的，应在响应人须知前附表规定的时间前通过电话或邮件向采购人提出。</w:t>
      </w:r>
    </w:p>
    <w:p>
      <w:pPr>
        <w:pStyle w:val="6"/>
        <w:rPr>
          <w:rFonts w:hint="eastAsia" w:cs="仿宋"/>
          <w:highlight w:val="none"/>
        </w:rPr>
      </w:pPr>
      <w:bookmarkStart w:id="48" w:name="_Toc444296337"/>
      <w:bookmarkStart w:id="49" w:name="_Toc449101791"/>
      <w:bookmarkStart w:id="50" w:name="_Toc514919740"/>
      <w:bookmarkStart w:id="51" w:name="_Toc58490783"/>
      <w:bookmarkStart w:id="52" w:name="_Toc514920890"/>
      <w:r>
        <w:rPr>
          <w:rFonts w:hint="eastAsia" w:cs="仿宋"/>
          <w:highlight w:val="none"/>
        </w:rPr>
        <w:t>2.3  谈判采购文件的修改</w:t>
      </w:r>
      <w:bookmarkEnd w:id="48"/>
      <w:bookmarkEnd w:id="49"/>
      <w:bookmarkEnd w:id="50"/>
      <w:bookmarkEnd w:id="51"/>
      <w:bookmarkEnd w:id="52"/>
      <w:r>
        <w:rPr>
          <w:rFonts w:hint="eastAsia" w:cs="仿宋"/>
          <w:highlight w:val="none"/>
        </w:rPr>
        <w:t xml:space="preserve">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在递交谈判响应文件截止日3天前，</w:t>
      </w:r>
      <w:r>
        <w:rPr>
          <w:rFonts w:hint="eastAsia" w:ascii="仿宋" w:hAnsi="仿宋" w:eastAsia="仿宋" w:cs="仿宋"/>
          <w:sz w:val="24"/>
          <w:highlight w:val="none"/>
        </w:rPr>
        <w:t>采购人可以对已发出的谈判采购文件通过十二局官网进行修改。</w:t>
      </w:r>
      <w:r>
        <w:rPr>
          <w:rFonts w:hint="eastAsia" w:ascii="仿宋" w:hAnsi="仿宋" w:eastAsia="仿宋" w:cs="仿宋"/>
          <w:kern w:val="0"/>
          <w:sz w:val="24"/>
          <w:highlight w:val="none"/>
        </w:rPr>
        <w:t xml:space="preserve"> </w:t>
      </w:r>
    </w:p>
    <w:p>
      <w:pPr>
        <w:pStyle w:val="5"/>
        <w:rPr>
          <w:rFonts w:hint="eastAsia" w:cs="仿宋"/>
          <w:highlight w:val="none"/>
        </w:rPr>
      </w:pPr>
      <w:bookmarkStart w:id="53" w:name="_Toc429570969"/>
      <w:bookmarkStart w:id="54" w:name="_Toc58490784"/>
      <w:bookmarkStart w:id="55" w:name="_Toc433814080"/>
      <w:bookmarkStart w:id="56" w:name="_Toc434479603"/>
      <w:bookmarkStart w:id="57" w:name="_Toc431150203"/>
      <w:r>
        <w:rPr>
          <w:rFonts w:hint="eastAsia" w:cs="仿宋"/>
          <w:highlight w:val="none"/>
        </w:rPr>
        <w:t>3、</w:t>
      </w:r>
      <w:bookmarkEnd w:id="53"/>
      <w:bookmarkStart w:id="58" w:name="竞争性谈判响应文件的编制"/>
      <w:r>
        <w:rPr>
          <w:rFonts w:hint="eastAsia" w:cs="仿宋"/>
          <w:highlight w:val="none"/>
        </w:rPr>
        <w:t>谈判响应文件的编制</w:t>
      </w:r>
      <w:bookmarkEnd w:id="54"/>
      <w:bookmarkEnd w:id="55"/>
      <w:bookmarkEnd w:id="56"/>
      <w:bookmarkEnd w:id="57"/>
      <w:bookmarkEnd w:id="58"/>
    </w:p>
    <w:p>
      <w:pPr>
        <w:pStyle w:val="6"/>
        <w:rPr>
          <w:rFonts w:hint="eastAsia" w:cs="仿宋"/>
          <w:highlight w:val="none"/>
        </w:rPr>
      </w:pPr>
      <w:bookmarkStart w:id="59" w:name="_Toc444296339"/>
      <w:bookmarkStart w:id="60" w:name="_Toc58490785"/>
      <w:bookmarkStart w:id="61" w:name="_Toc449101793"/>
      <w:bookmarkStart w:id="62" w:name="_Toc514919742"/>
      <w:bookmarkStart w:id="63" w:name="_Toc514920892"/>
      <w:r>
        <w:rPr>
          <w:rFonts w:hint="eastAsia" w:cs="仿宋"/>
          <w:highlight w:val="none"/>
        </w:rPr>
        <w:t xml:space="preserve">3.1  </w:t>
      </w:r>
      <w:bookmarkEnd w:id="59"/>
      <w:r>
        <w:rPr>
          <w:rFonts w:hint="eastAsia" w:cs="仿宋"/>
          <w:highlight w:val="none"/>
        </w:rPr>
        <w:t>响应文件的构成：</w:t>
      </w:r>
      <w:bookmarkEnd w:id="60"/>
      <w:bookmarkEnd w:id="61"/>
      <w:bookmarkEnd w:id="62"/>
      <w:bookmarkEnd w:id="63"/>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（1）应包括下列部分：</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1）谈判报价函</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2）法定代表人授权委托书</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3）报价表</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4）质</w:t>
      </w:r>
      <w:r>
        <w:rPr>
          <w:rFonts w:hint="eastAsia" w:ascii="仿宋" w:hAnsi="仿宋" w:eastAsia="仿宋" w:cs="仿宋"/>
          <w:sz w:val="24"/>
          <w:szCs w:val="24"/>
          <w:highlight w:val="none"/>
        </w:rPr>
        <w:t>保期过后的售后服务保障计划（含服务内容、等级、响应时间、费用等）</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5）响应人信息</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6）销售业绩资料（销售合同及对应发票）</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7）响应人廉政承诺书</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8）商务偏差表</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9）品牌承诺书</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10）响应人认为应补充的其他商务资料</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11）技术偏差表</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12）项目说明及技术文件</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（2）最终报价文件应包括：</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1）最终报价表（含分项报价）</w:t>
      </w:r>
    </w:p>
    <w:p>
      <w:pPr>
        <w:tabs>
          <w:tab w:val="left" w:pos="0"/>
          <w:tab w:val="left" w:pos="993"/>
        </w:tabs>
        <w:autoSpaceDE w:val="0"/>
        <w:autoSpaceDN w:val="0"/>
        <w:adjustRightInd w:val="0"/>
        <w:spacing w:line="360" w:lineRule="auto"/>
        <w:ind w:left="484"/>
        <w:rPr>
          <w:rFonts w:hint="eastAsia" w:ascii="仿宋" w:hAnsi="仿宋" w:eastAsia="仿宋" w:cs="仿宋"/>
          <w:kern w:val="0"/>
          <w:sz w:val="24"/>
          <w:highlight w:val="none"/>
        </w:rPr>
      </w:pPr>
      <w:r>
        <w:rPr>
          <w:rFonts w:hint="eastAsia" w:ascii="仿宋" w:hAnsi="仿宋" w:eastAsia="仿宋" w:cs="仿宋"/>
          <w:kern w:val="0"/>
          <w:sz w:val="24"/>
          <w:highlight w:val="none"/>
        </w:rPr>
        <w:t>2）谈判小组要求的其他资料</w:t>
      </w:r>
    </w:p>
    <w:p>
      <w:pPr>
        <w:pStyle w:val="6"/>
        <w:rPr>
          <w:rFonts w:hint="eastAsia" w:cs="仿宋"/>
          <w:highlight w:val="none"/>
        </w:rPr>
      </w:pPr>
      <w:bookmarkStart w:id="64" w:name="_Toc58490786"/>
      <w:bookmarkStart w:id="65" w:name="_Toc449101794"/>
      <w:bookmarkStart w:id="66" w:name="_Toc514919743"/>
      <w:bookmarkStart w:id="67" w:name="_Toc514920893"/>
      <w:bookmarkStart w:id="68" w:name="_Toc444296340"/>
      <w:r>
        <w:rPr>
          <w:rFonts w:hint="eastAsia" w:cs="仿宋"/>
          <w:highlight w:val="none"/>
        </w:rPr>
        <w:t>3.2  资格审查资料</w:t>
      </w:r>
      <w:bookmarkEnd w:id="64"/>
      <w:bookmarkEnd w:id="65"/>
      <w:bookmarkEnd w:id="66"/>
      <w:bookmarkEnd w:id="67"/>
      <w:r>
        <w:rPr>
          <w:rFonts w:hint="eastAsia" w:cs="仿宋"/>
          <w:highlight w:val="none"/>
        </w:rPr>
        <w:t xml:space="preserve">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（1）“响应人信息”应附谈判采购文件所列资格文件复印件，包括响应人营业执照副本、资质证书（若有）、体系认证等材料的复印件。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（2）“近年财务状况表”应附近两年财务会计报表，包括资产负债表、现金流量表、利润表和财务情况说明书且经响应人盖公司章的复印件。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（3）“业绩及正在执行的供货合同项目表”应附相应项目的中标通知书和合同协议书的原件扫描件，每张表格只填写一个项目，并标明序号。</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（4）响应人认为有必要提供的其他证明文件。</w:t>
      </w:r>
    </w:p>
    <w:p>
      <w:pPr>
        <w:pStyle w:val="6"/>
        <w:rPr>
          <w:rFonts w:hint="eastAsia" w:cs="仿宋"/>
          <w:highlight w:val="none"/>
        </w:rPr>
      </w:pPr>
      <w:bookmarkStart w:id="69" w:name="_Toc58490787"/>
      <w:bookmarkStart w:id="70" w:name="_Toc449101795"/>
      <w:bookmarkStart w:id="71" w:name="_Toc514919744"/>
      <w:bookmarkStart w:id="72" w:name="_Toc514920894"/>
      <w:r>
        <w:rPr>
          <w:rFonts w:hint="eastAsia" w:cs="仿宋"/>
          <w:highlight w:val="none"/>
        </w:rPr>
        <w:t>3.3  谈判报价</w:t>
      </w:r>
      <w:bookmarkEnd w:id="68"/>
      <w:bookmarkEnd w:id="69"/>
      <w:bookmarkEnd w:id="70"/>
      <w:bookmarkEnd w:id="71"/>
      <w:bookmarkEnd w:id="72"/>
      <w:r>
        <w:rPr>
          <w:rFonts w:hint="eastAsia" w:cs="仿宋"/>
          <w:highlight w:val="none"/>
        </w:rPr>
        <w:t xml:space="preserve">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（1）报价是指响应人在正确地完全履行合同义务后采购人应支付给响应人所有的服务价款，即包括货物的技术服务、培训、售后服务、增值税等。</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（2）响应人必须按附件的首次报价表、各分项报价表的内容填写产品单价、合价及其他事项，并由法定代表人或授权代表签署。</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（3）报价货币人民币（国内设备）或美元、欧元（进口设备）。</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（4）不接受任何选择报价，对每一种货物只允许一个报价。</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（5）所有响应人的谈判响应最终报价的单价和总价在合同执行过程中是固定不变的。</w:t>
      </w:r>
    </w:p>
    <w:p>
      <w:pPr>
        <w:autoSpaceDE w:val="0"/>
        <w:autoSpaceDN w:val="0"/>
        <w:adjustRightInd w:val="0"/>
        <w:spacing w:line="360" w:lineRule="auto"/>
        <w:ind w:firstLine="482"/>
        <w:rPr>
          <w:rFonts w:hint="eastAsia" w:ascii="仿宋" w:hAnsi="仿宋" w:eastAsia="仿宋" w:cs="仿宋"/>
          <w:sz w:val="24"/>
          <w:szCs w:val="24"/>
          <w:highlight w:val="none"/>
        </w:rPr>
      </w:pPr>
      <w:r>
        <w:rPr>
          <w:rFonts w:hint="eastAsia" w:ascii="仿宋" w:hAnsi="仿宋" w:eastAsia="仿宋" w:cs="仿宋"/>
          <w:kern w:val="0"/>
          <w:sz w:val="24"/>
          <w:highlight w:val="none"/>
        </w:rPr>
        <w:t>（6）对于响应人为完成采购项目所必需却没有单独列项和报价的服务工作内容以及必需配合所产生的费用，以及为完成本合同责任与义务所需的其他所需费用等，采购人均视为已包含在谈判采购响应报价总价中。谈判采购</w:t>
      </w:r>
      <w:r>
        <w:rPr>
          <w:rFonts w:hint="eastAsia" w:ascii="仿宋" w:hAnsi="仿宋" w:eastAsia="仿宋" w:cs="仿宋"/>
          <w:sz w:val="24"/>
          <w:szCs w:val="24"/>
          <w:highlight w:val="none"/>
        </w:rPr>
        <w:t>响应人应充分考虑运保费、开发难度、实施费用等实际客观因素发生的费用及一定范围风险报价。</w:t>
      </w:r>
    </w:p>
    <w:p>
      <w:pPr>
        <w:autoSpaceDE w:val="0"/>
        <w:autoSpaceDN w:val="0"/>
        <w:adjustRightInd w:val="0"/>
        <w:spacing w:line="36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响应人应在报价方案中明确对本次采购标的物运维期过后的售后服务保障计划（含服务内容、等级、响应时间等）及相关价费用。成交供应商签订合同时，不得以任何理由要求增加合同价格。</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（7）若单价的汇总与总价有差异，则以价格低的为准，并进行相应的修正，但单价小数点有明显错误的除外；若数字和文字表示的金额之间有差异，则以文字表示的大写金额为准，并对数字作相应的修正。</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（8）若在谈判响应报价中同一部分或项目有两个以上的报价且未明确哪个报价有效，较低的报价将被视为有效报价。</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（9）谈判响应人所报的谈判响应价在合同执行过程中是固定不变的，不得以任何理由予以变更。</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（10）</w:t>
      </w:r>
      <w:r>
        <w:rPr>
          <w:rFonts w:hint="eastAsia" w:ascii="仿宋" w:hAnsi="仿宋" w:eastAsia="仿宋" w:cs="仿宋"/>
          <w:sz w:val="24"/>
          <w:szCs w:val="24"/>
          <w:highlight w:val="none"/>
        </w:rPr>
        <w:t>本合同价格包括但不限于：</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系统整体规划设计、平台建设、系统集成、安装调试、技术服务和维保服务、技术资料、技术支持与培训、现场技术服务费用；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乙方人工费用；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有关的必要功能扩充所需费用；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合同系统可能的特许使用费；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对甲方技术人员和操作人员的除住宿、交通费外的全部培训费用；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系统在开发、测试、销售、部署、运行各个环节的税收及费用；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乙方的税收、管理费用及其它各项开支；</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合同中规定的应由乙方承担的其它费用，以及合同中未明确约定，但系与乙方完成本合同项下义务相关的所有其他费用。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除前述款项外，就乙方完成本合同项下的全部责任和义务，甲方不再向乙方支付任何其它款项和费用。</w:t>
      </w:r>
    </w:p>
    <w:p>
      <w:pPr>
        <w:pStyle w:val="3"/>
        <w:rPr>
          <w:rFonts w:hint="eastAsia" w:ascii="仿宋" w:hAnsi="仿宋" w:eastAsia="仿宋" w:cs="仿宋"/>
          <w:highlight w:val="none"/>
        </w:rPr>
      </w:pPr>
    </w:p>
    <w:p>
      <w:pPr>
        <w:pStyle w:val="6"/>
        <w:rPr>
          <w:rFonts w:hint="eastAsia" w:cs="仿宋"/>
          <w:highlight w:val="none"/>
        </w:rPr>
      </w:pPr>
      <w:bookmarkStart w:id="73" w:name="_Toc444296341"/>
      <w:bookmarkStart w:id="74" w:name="_Toc58490788"/>
      <w:bookmarkStart w:id="75" w:name="_Toc514920895"/>
      <w:bookmarkStart w:id="76" w:name="_Toc449101796"/>
      <w:bookmarkStart w:id="77" w:name="_Toc514919745"/>
      <w:r>
        <w:rPr>
          <w:rFonts w:hint="eastAsia" w:cs="仿宋"/>
          <w:highlight w:val="none"/>
        </w:rPr>
        <w:t xml:space="preserve">3.4  </w:t>
      </w:r>
      <w:bookmarkEnd w:id="73"/>
      <w:r>
        <w:rPr>
          <w:rFonts w:hint="eastAsia" w:cs="仿宋"/>
          <w:highlight w:val="none"/>
        </w:rPr>
        <w:t>谈判报价有效期</w:t>
      </w:r>
      <w:bookmarkEnd w:id="74"/>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3.4.1除响应人须知前附表另有规定外，谈判报价文件有效期为90天。</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3.4.2在谈判报价文件有效期内，响应人撤销响应文件的，应承担采购文件和法律规定的责任。</w:t>
      </w:r>
    </w:p>
    <w:p>
      <w:pPr>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rPr>
        <w:t>3.4.3出现特殊情况需要延长谈判报价文件有效期的，采购人以书面形式通知所有响应人延长有效期。响应人应予以书面答复。</w:t>
      </w:r>
    </w:p>
    <w:p>
      <w:pPr>
        <w:pStyle w:val="6"/>
        <w:rPr>
          <w:rFonts w:hint="eastAsia" w:cs="仿宋"/>
          <w:highlight w:val="none"/>
        </w:rPr>
      </w:pPr>
      <w:bookmarkStart w:id="78" w:name="_Toc58490790"/>
      <w:r>
        <w:rPr>
          <w:rFonts w:hint="eastAsia" w:cs="仿宋"/>
          <w:highlight w:val="none"/>
        </w:rPr>
        <w:t>3.5  响应文件说明书及技术资料</w:t>
      </w:r>
      <w:bookmarkEnd w:id="75"/>
      <w:bookmarkEnd w:id="76"/>
      <w:bookmarkEnd w:id="77"/>
      <w:bookmarkEnd w:id="78"/>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响应人应提交证明其有资格参加采购谈判和成交后有能力履行合同的文件，并作为其谈判报价响应文件的一部分。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（1）响应人谈判时应提交的符合性证明文件应满足谈判采购文件要求。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（2）证明服务合格和符合本次谈判采购文件规定的文件。这些文件可以是文字资料、图样和数据。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（3）对照本次谈判采购文件要求，逐条说明所提供服务已对采购人的要求做了实质性的响应，或申明与技术规格条文的偏差和例外。对于有要求的产品技术，响应人必须提供所投入服务设备的具体参数值。 </w:t>
      </w:r>
    </w:p>
    <w:p>
      <w:pPr>
        <w:pStyle w:val="6"/>
        <w:rPr>
          <w:rFonts w:hint="eastAsia" w:cs="仿宋"/>
          <w:highlight w:val="none"/>
        </w:rPr>
      </w:pPr>
      <w:bookmarkStart w:id="79" w:name="_Toc444296343"/>
      <w:bookmarkStart w:id="80" w:name="_Toc58490791"/>
      <w:bookmarkStart w:id="81" w:name="_Toc514920896"/>
      <w:bookmarkStart w:id="82" w:name="_Toc514919746"/>
      <w:bookmarkStart w:id="83" w:name="_Toc449101797"/>
      <w:r>
        <w:rPr>
          <w:rFonts w:hint="eastAsia" w:cs="仿宋"/>
          <w:highlight w:val="none"/>
        </w:rPr>
        <w:t>3.6  谈判采购响应文件的编制</w:t>
      </w:r>
      <w:bookmarkEnd w:id="79"/>
      <w:r>
        <w:rPr>
          <w:rFonts w:hint="eastAsia" w:cs="仿宋"/>
          <w:highlight w:val="none"/>
        </w:rPr>
        <w:t>、装订、密封</w:t>
      </w:r>
      <w:bookmarkEnd w:id="80"/>
      <w:bookmarkEnd w:id="81"/>
      <w:bookmarkEnd w:id="82"/>
      <w:bookmarkEnd w:id="83"/>
      <w:r>
        <w:rPr>
          <w:rFonts w:hint="eastAsia" w:cs="仿宋"/>
          <w:highlight w:val="none"/>
        </w:rPr>
        <w:t xml:space="preserve">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线上投标。</w:t>
      </w:r>
    </w:p>
    <w:p>
      <w:pPr>
        <w:pStyle w:val="6"/>
        <w:rPr>
          <w:rFonts w:hint="eastAsia" w:cs="仿宋"/>
          <w:highlight w:val="none"/>
        </w:rPr>
      </w:pPr>
      <w:bookmarkStart w:id="84" w:name="_Toc444296344"/>
      <w:bookmarkStart w:id="85" w:name="_Toc58490792"/>
      <w:bookmarkStart w:id="86" w:name="_Toc514920897"/>
      <w:bookmarkStart w:id="87" w:name="_Toc514919747"/>
      <w:bookmarkStart w:id="88" w:name="_Toc449101798"/>
      <w:r>
        <w:rPr>
          <w:rFonts w:hint="eastAsia" w:cs="仿宋"/>
          <w:highlight w:val="none"/>
        </w:rPr>
        <w:t>3.7  谈判响应文件的递交</w:t>
      </w:r>
      <w:bookmarkEnd w:id="84"/>
      <w:bookmarkEnd w:id="85"/>
      <w:bookmarkEnd w:id="86"/>
      <w:bookmarkEnd w:id="87"/>
      <w:bookmarkEnd w:id="88"/>
      <w:r>
        <w:rPr>
          <w:rFonts w:hint="eastAsia" w:cs="仿宋"/>
          <w:highlight w:val="none"/>
        </w:rPr>
        <w:t xml:space="preserve">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（1）响应人应在须知前附表规定的时间和地点递交竞争性谈判响应文件。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（2）响应人递交的谈判响应文件不予退还。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（3）逾期送达的或者未送达指定地点的谈判响应文件以及未按规定密封和标记的谈判响应文件，采购人不予受理。 </w:t>
      </w:r>
    </w:p>
    <w:p>
      <w:pPr>
        <w:pStyle w:val="6"/>
        <w:rPr>
          <w:rFonts w:hint="eastAsia" w:cs="仿宋"/>
          <w:highlight w:val="none"/>
        </w:rPr>
      </w:pPr>
      <w:bookmarkStart w:id="89" w:name="_Toc514919748"/>
      <w:bookmarkStart w:id="90" w:name="_Toc514920898"/>
      <w:bookmarkStart w:id="91" w:name="_Toc444296345"/>
      <w:bookmarkStart w:id="92" w:name="_Toc58490793"/>
      <w:bookmarkStart w:id="93" w:name="_Toc449101799"/>
      <w:r>
        <w:rPr>
          <w:rFonts w:hint="eastAsia" w:cs="仿宋"/>
          <w:highlight w:val="none"/>
        </w:rPr>
        <w:t>3.8  谈判响应文件的修改和撤回</w:t>
      </w:r>
      <w:bookmarkEnd w:id="89"/>
      <w:bookmarkEnd w:id="90"/>
      <w:bookmarkEnd w:id="91"/>
      <w:bookmarkEnd w:id="92"/>
      <w:bookmarkEnd w:id="93"/>
      <w:r>
        <w:rPr>
          <w:rFonts w:hint="eastAsia" w:cs="仿宋"/>
          <w:highlight w:val="none"/>
        </w:rPr>
        <w:t xml:space="preserve">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（1）递交谈判响应文件截止时间前，响应人可以修正、补充或撤回已送达的谈判响应文件，并注明为修改文件。 </w:t>
      </w:r>
    </w:p>
    <w:p>
      <w:pPr>
        <w:pStyle w:val="5"/>
        <w:rPr>
          <w:rFonts w:hint="eastAsia" w:cs="仿宋"/>
          <w:highlight w:val="none"/>
        </w:rPr>
      </w:pPr>
      <w:bookmarkStart w:id="94" w:name="_Toc429570971"/>
      <w:bookmarkStart w:id="95" w:name="_Toc58490794"/>
      <w:bookmarkStart w:id="96" w:name="_Toc433814081"/>
      <w:bookmarkStart w:id="97" w:name="_Toc431150204"/>
      <w:bookmarkStart w:id="98" w:name="_Toc434479604"/>
      <w:r>
        <w:rPr>
          <w:rFonts w:hint="eastAsia" w:cs="仿宋"/>
          <w:highlight w:val="none"/>
        </w:rPr>
        <w:t>4、</w:t>
      </w:r>
      <w:bookmarkEnd w:id="94"/>
      <w:bookmarkStart w:id="99" w:name="谈判与评审"/>
      <w:r>
        <w:rPr>
          <w:rFonts w:hint="eastAsia" w:cs="仿宋"/>
          <w:highlight w:val="none"/>
        </w:rPr>
        <w:t>谈判与评审</w:t>
      </w:r>
      <w:bookmarkEnd w:id="95"/>
      <w:bookmarkEnd w:id="96"/>
      <w:bookmarkEnd w:id="97"/>
      <w:bookmarkEnd w:id="98"/>
      <w:r>
        <w:rPr>
          <w:rFonts w:hint="eastAsia" w:cs="仿宋"/>
          <w:highlight w:val="none"/>
        </w:rPr>
        <w:t xml:space="preserve"> </w:t>
      </w:r>
      <w:bookmarkEnd w:id="99"/>
    </w:p>
    <w:p>
      <w:pPr>
        <w:pStyle w:val="6"/>
        <w:rPr>
          <w:rFonts w:hint="eastAsia" w:cs="仿宋"/>
          <w:sz w:val="24"/>
          <w:szCs w:val="24"/>
          <w:highlight w:val="none"/>
        </w:rPr>
      </w:pPr>
      <w:bookmarkStart w:id="100" w:name="_Toc514919750"/>
      <w:bookmarkStart w:id="101" w:name="_Toc514920900"/>
      <w:bookmarkStart w:id="102" w:name="_Toc58490795"/>
      <w:bookmarkStart w:id="103" w:name="_Toc444296347"/>
      <w:bookmarkStart w:id="104" w:name="_Toc449101801"/>
      <w:r>
        <w:rPr>
          <w:rFonts w:hint="eastAsia" w:cs="仿宋"/>
          <w:highlight w:val="none"/>
        </w:rPr>
        <w:t>4.1  开标</w:t>
      </w:r>
    </w:p>
    <w:bookmarkEnd w:id="100"/>
    <w:bookmarkEnd w:id="101"/>
    <w:bookmarkEnd w:id="102"/>
    <w:bookmarkEnd w:id="103"/>
    <w:bookmarkEnd w:id="104"/>
    <w:p>
      <w:pPr>
        <w:numPr>
          <w:ilvl w:val="2"/>
          <w:numId w:val="4"/>
        </w:numPr>
        <w:spacing w:line="360" w:lineRule="auto"/>
        <w:ind w:left="720" w:hangingChars="300"/>
        <w:rPr>
          <w:rFonts w:hint="eastAsia" w:ascii="仿宋" w:hAnsi="仿宋" w:eastAsia="仿宋" w:cs="仿宋"/>
          <w:sz w:val="24"/>
          <w:highlight w:val="none"/>
        </w:rPr>
      </w:pPr>
      <w:bookmarkStart w:id="105" w:name="_Toc58490797"/>
      <w:bookmarkStart w:id="106" w:name="_Toc514919752"/>
      <w:bookmarkStart w:id="107" w:name="_Toc449101803"/>
      <w:bookmarkStart w:id="108" w:name="_Toc514920902"/>
      <w:r>
        <w:rPr>
          <w:rFonts w:hint="eastAsia" w:ascii="仿宋" w:hAnsi="仿宋" w:eastAsia="仿宋" w:cs="仿宋"/>
          <w:sz w:val="24"/>
          <w:highlight w:val="none"/>
        </w:rPr>
        <w:t>2025年12 月</w:t>
      </w:r>
      <w:r>
        <w:rPr>
          <w:rFonts w:hint="eastAsia" w:ascii="仿宋" w:hAnsi="仿宋" w:eastAsia="仿宋" w:cs="仿宋"/>
          <w:sz w:val="24"/>
          <w:highlight w:val="none"/>
          <w:lang w:val="en-US" w:eastAsia="zh-CN"/>
        </w:rPr>
        <w:t>24</w:t>
      </w:r>
      <w:bookmarkStart w:id="226" w:name="_GoBack"/>
      <w:bookmarkEnd w:id="226"/>
      <w:r>
        <w:rPr>
          <w:rFonts w:hint="eastAsia" w:ascii="仿宋" w:hAnsi="仿宋" w:eastAsia="仿宋" w:cs="仿宋"/>
          <w:sz w:val="24"/>
          <w:highlight w:val="none"/>
        </w:rPr>
        <w:t xml:space="preserve">  日10:00（北京时间）采购人通过邮箱下载已收到的竞谈响应文件。</w:t>
      </w:r>
    </w:p>
    <w:p>
      <w:pPr>
        <w:numPr>
          <w:ilvl w:val="2"/>
          <w:numId w:val="4"/>
        </w:numPr>
        <w:spacing w:line="360" w:lineRule="auto"/>
        <w:ind w:left="720" w:hangingChars="300"/>
        <w:rPr>
          <w:rFonts w:hint="eastAsia" w:ascii="仿宋" w:hAnsi="仿宋" w:eastAsia="仿宋" w:cs="仿宋"/>
          <w:sz w:val="24"/>
          <w:highlight w:val="none"/>
        </w:rPr>
      </w:pPr>
      <w:r>
        <w:rPr>
          <w:rFonts w:hint="eastAsia" w:ascii="仿宋" w:hAnsi="仿宋" w:eastAsia="仿宋" w:cs="仿宋"/>
          <w:sz w:val="24"/>
          <w:highlight w:val="none"/>
        </w:rPr>
        <w:t>在开标时没有通过邮箱递交的竞谈响应文件(包括修改文件)，在评标时将不予考虑。</w:t>
      </w:r>
    </w:p>
    <w:p>
      <w:pPr>
        <w:numPr>
          <w:ilvl w:val="2"/>
          <w:numId w:val="4"/>
        </w:numPr>
        <w:spacing w:line="360" w:lineRule="auto"/>
        <w:ind w:left="720" w:hangingChars="300"/>
        <w:rPr>
          <w:rFonts w:hint="eastAsia" w:ascii="仿宋" w:hAnsi="仿宋" w:eastAsia="仿宋" w:cs="仿宋"/>
          <w:sz w:val="24"/>
          <w:highlight w:val="none"/>
        </w:rPr>
      </w:pPr>
      <w:r>
        <w:rPr>
          <w:rFonts w:hint="eastAsia" w:ascii="仿宋" w:hAnsi="仿宋" w:eastAsia="仿宋" w:cs="仿宋"/>
          <w:sz w:val="24"/>
          <w:highlight w:val="none"/>
        </w:rPr>
        <w:t>采购人或采购组织机构将做开标记录。</w:t>
      </w:r>
    </w:p>
    <w:p>
      <w:pPr>
        <w:numPr>
          <w:ilvl w:val="1"/>
          <w:numId w:val="4"/>
        </w:numPr>
        <w:spacing w:line="360" w:lineRule="auto"/>
        <w:ind w:left="539" w:hanging="539"/>
        <w:rPr>
          <w:rFonts w:hint="eastAsia" w:ascii="仿宋" w:hAnsi="仿宋" w:eastAsia="仿宋" w:cs="仿宋"/>
          <w:sz w:val="24"/>
          <w:highlight w:val="none"/>
        </w:rPr>
      </w:pPr>
      <w:r>
        <w:rPr>
          <w:rFonts w:hint="eastAsia" w:ascii="仿宋" w:hAnsi="仿宋" w:eastAsia="仿宋" w:cs="仿宋"/>
          <w:sz w:val="24"/>
          <w:highlight w:val="none"/>
        </w:rPr>
        <w:t xml:space="preserve"> 评标</w:t>
      </w:r>
    </w:p>
    <w:p>
      <w:pPr>
        <w:pStyle w:val="33"/>
        <w:numPr>
          <w:ilvl w:val="1"/>
          <w:numId w:val="5"/>
        </w:numPr>
        <w:spacing w:line="360" w:lineRule="auto"/>
        <w:ind w:firstLineChars="0"/>
        <w:rPr>
          <w:rFonts w:hint="eastAsia" w:ascii="仿宋" w:hAnsi="仿宋" w:eastAsia="仿宋" w:cs="仿宋"/>
          <w:vanish/>
          <w:sz w:val="24"/>
          <w:highlight w:val="none"/>
        </w:rPr>
      </w:pPr>
    </w:p>
    <w:p>
      <w:pPr>
        <w:numPr>
          <w:ilvl w:val="2"/>
          <w:numId w:val="4"/>
        </w:numPr>
        <w:spacing w:line="360" w:lineRule="auto"/>
        <w:ind w:left="720" w:hangingChars="300"/>
        <w:rPr>
          <w:rFonts w:hint="eastAsia" w:ascii="仿宋" w:hAnsi="仿宋" w:eastAsia="仿宋" w:cs="仿宋"/>
          <w:sz w:val="24"/>
          <w:highlight w:val="none"/>
        </w:rPr>
      </w:pPr>
      <w:r>
        <w:rPr>
          <w:rFonts w:hint="eastAsia" w:ascii="仿宋" w:hAnsi="仿宋" w:eastAsia="仿宋" w:cs="仿宋"/>
          <w:sz w:val="24"/>
          <w:highlight w:val="none"/>
        </w:rPr>
        <w:t>评标委员会和澄清</w:t>
      </w:r>
    </w:p>
    <w:p>
      <w:pPr>
        <w:numPr>
          <w:ilvl w:val="3"/>
          <w:numId w:val="4"/>
        </w:numPr>
        <w:spacing w:line="360" w:lineRule="auto"/>
        <w:ind w:left="964" w:hanging="964"/>
        <w:rPr>
          <w:rFonts w:hint="eastAsia" w:ascii="仿宋" w:hAnsi="仿宋" w:eastAsia="仿宋" w:cs="仿宋"/>
          <w:sz w:val="24"/>
          <w:highlight w:val="none"/>
        </w:rPr>
      </w:pPr>
      <w:r>
        <w:rPr>
          <w:rFonts w:hint="eastAsia" w:ascii="仿宋" w:hAnsi="仿宋" w:eastAsia="仿宋" w:cs="仿宋"/>
          <w:sz w:val="24"/>
          <w:highlight w:val="none"/>
        </w:rPr>
        <w:t>采购人依照有关法规组建评标委员会，进行评标。</w:t>
      </w:r>
    </w:p>
    <w:p>
      <w:pPr>
        <w:numPr>
          <w:ilvl w:val="3"/>
          <w:numId w:val="4"/>
        </w:numPr>
        <w:spacing w:line="360" w:lineRule="auto"/>
        <w:ind w:left="964" w:hanging="964"/>
        <w:rPr>
          <w:rFonts w:hint="eastAsia" w:ascii="仿宋" w:hAnsi="仿宋" w:eastAsia="仿宋" w:cs="仿宋"/>
          <w:sz w:val="24"/>
          <w:highlight w:val="none"/>
        </w:rPr>
      </w:pPr>
      <w:r>
        <w:rPr>
          <w:rFonts w:hint="eastAsia" w:ascii="仿宋" w:hAnsi="仿宋" w:eastAsia="仿宋" w:cs="仿宋"/>
          <w:sz w:val="24"/>
          <w:highlight w:val="none"/>
        </w:rPr>
        <w:t>在评标期间，评标委员会可要求竞谈响应人以线上会议的形式对其竞谈响应文件进行澄清，但不得寻求、提供或允许对竞谈响应价格等实质性内容做任何更改。有关澄清的要求和答复均应以书面形式提交。</w:t>
      </w:r>
    </w:p>
    <w:p>
      <w:pPr>
        <w:numPr>
          <w:ilvl w:val="2"/>
          <w:numId w:val="4"/>
        </w:numPr>
        <w:spacing w:line="360" w:lineRule="auto"/>
        <w:ind w:left="720" w:hangingChars="300"/>
        <w:rPr>
          <w:rFonts w:hint="eastAsia" w:ascii="仿宋" w:hAnsi="仿宋" w:eastAsia="仿宋" w:cs="仿宋"/>
          <w:sz w:val="24"/>
          <w:highlight w:val="none"/>
        </w:rPr>
      </w:pPr>
      <w:r>
        <w:rPr>
          <w:rFonts w:hint="eastAsia" w:ascii="仿宋" w:hAnsi="仿宋" w:eastAsia="仿宋" w:cs="仿宋"/>
          <w:sz w:val="24"/>
          <w:highlight w:val="none"/>
        </w:rPr>
        <w:t>缺项补齐和偏差调整</w:t>
      </w:r>
    </w:p>
    <w:p>
      <w:pPr>
        <w:numPr>
          <w:ilvl w:val="3"/>
          <w:numId w:val="4"/>
        </w:numPr>
        <w:spacing w:line="360" w:lineRule="auto"/>
        <w:ind w:left="964" w:hanging="964"/>
        <w:rPr>
          <w:rFonts w:hint="eastAsia" w:ascii="仿宋" w:hAnsi="仿宋" w:eastAsia="仿宋" w:cs="仿宋"/>
          <w:sz w:val="24"/>
          <w:highlight w:val="none"/>
        </w:rPr>
      </w:pPr>
      <w:r>
        <w:rPr>
          <w:rFonts w:hint="eastAsia" w:ascii="仿宋" w:hAnsi="仿宋" w:eastAsia="仿宋" w:cs="仿宋"/>
          <w:sz w:val="24"/>
          <w:highlight w:val="none"/>
        </w:rPr>
        <w:t>采购人将对竞谈响应文件中的缺项报价进行补齐，方法是将其他竞谈响应人的竞谈响应文件中的相同部分的最高报价视为其报价。对有付款条件偏差的竞谈响应人，评标委员会将考虑采购人为此所承担的风险和增加的成本，并将此成本加到该竞谈响应人的报价中，来计算评标价格。</w:t>
      </w:r>
    </w:p>
    <w:p>
      <w:pPr>
        <w:numPr>
          <w:ilvl w:val="3"/>
          <w:numId w:val="4"/>
        </w:numPr>
        <w:spacing w:line="360" w:lineRule="auto"/>
        <w:ind w:left="964" w:hanging="964"/>
        <w:rPr>
          <w:rFonts w:hint="eastAsia" w:ascii="仿宋" w:hAnsi="仿宋" w:eastAsia="仿宋" w:cs="仿宋"/>
          <w:sz w:val="24"/>
          <w:highlight w:val="none"/>
        </w:rPr>
      </w:pPr>
      <w:r>
        <w:rPr>
          <w:rFonts w:hint="eastAsia" w:ascii="仿宋" w:hAnsi="仿宋" w:eastAsia="仿宋" w:cs="仿宋"/>
          <w:sz w:val="24"/>
          <w:highlight w:val="none"/>
        </w:rPr>
        <w:t>采购人将按本竞谈文件规定的方法调整竞谈响应报价，调整后的价格将对竞谈响应人具有约束力。</w:t>
      </w:r>
    </w:p>
    <w:p>
      <w:pPr>
        <w:numPr>
          <w:ilvl w:val="2"/>
          <w:numId w:val="4"/>
        </w:numPr>
        <w:spacing w:line="360" w:lineRule="auto"/>
        <w:ind w:left="720" w:hangingChars="300"/>
        <w:rPr>
          <w:rFonts w:hint="eastAsia" w:ascii="仿宋" w:hAnsi="仿宋" w:eastAsia="仿宋" w:cs="仿宋"/>
          <w:sz w:val="24"/>
          <w:highlight w:val="none"/>
        </w:rPr>
      </w:pPr>
      <w:r>
        <w:rPr>
          <w:rFonts w:hint="eastAsia" w:ascii="仿宋" w:hAnsi="仿宋" w:eastAsia="仿宋" w:cs="仿宋"/>
          <w:sz w:val="24"/>
          <w:highlight w:val="none"/>
        </w:rPr>
        <w:t>与采购人的接触</w:t>
      </w:r>
    </w:p>
    <w:p>
      <w:pPr>
        <w:numPr>
          <w:ilvl w:val="3"/>
          <w:numId w:val="4"/>
        </w:numPr>
        <w:spacing w:line="360" w:lineRule="auto"/>
        <w:ind w:left="964" w:hanging="964"/>
        <w:rPr>
          <w:rFonts w:hint="eastAsia" w:ascii="仿宋" w:hAnsi="仿宋" w:eastAsia="仿宋" w:cs="仿宋"/>
          <w:sz w:val="24"/>
          <w:highlight w:val="none"/>
        </w:rPr>
      </w:pPr>
      <w:r>
        <w:rPr>
          <w:rFonts w:hint="eastAsia" w:ascii="仿宋" w:hAnsi="仿宋" w:eastAsia="仿宋" w:cs="仿宋"/>
          <w:sz w:val="24"/>
          <w:highlight w:val="none"/>
        </w:rPr>
        <w:t>从开标之日起至授予合同期间，竞谈响应人不得就与其竞谈响应有关的事项与采购人和评标委员会接触。</w:t>
      </w:r>
    </w:p>
    <w:p>
      <w:pPr>
        <w:numPr>
          <w:ilvl w:val="3"/>
          <w:numId w:val="4"/>
        </w:numPr>
        <w:spacing w:line="360" w:lineRule="auto"/>
        <w:ind w:left="964" w:hanging="964"/>
        <w:rPr>
          <w:rFonts w:hint="eastAsia" w:ascii="仿宋" w:hAnsi="仿宋" w:eastAsia="仿宋" w:cs="仿宋"/>
          <w:sz w:val="24"/>
          <w:highlight w:val="none"/>
        </w:rPr>
      </w:pPr>
      <w:r>
        <w:rPr>
          <w:rFonts w:hint="eastAsia" w:ascii="仿宋" w:hAnsi="仿宋" w:eastAsia="仿宋" w:cs="仿宋"/>
          <w:sz w:val="24"/>
          <w:highlight w:val="none"/>
        </w:rPr>
        <w:t>竞谈响应人试图对采购人和评标委员会的评标或授予合同的决定进行影响，都可能导致其竞谈响应被拒绝。</w:t>
      </w:r>
    </w:p>
    <w:p>
      <w:pPr>
        <w:numPr>
          <w:ilvl w:val="1"/>
          <w:numId w:val="4"/>
        </w:numPr>
        <w:spacing w:line="360" w:lineRule="auto"/>
        <w:ind w:left="539" w:hanging="539"/>
        <w:rPr>
          <w:rFonts w:hint="eastAsia" w:ascii="仿宋" w:hAnsi="仿宋" w:eastAsia="仿宋" w:cs="仿宋"/>
          <w:sz w:val="24"/>
          <w:highlight w:val="none"/>
        </w:rPr>
      </w:pPr>
      <w:bookmarkStart w:id="109" w:name="_Toc28340706"/>
      <w:bookmarkStart w:id="110" w:name="_Toc530292212"/>
      <w:bookmarkStart w:id="111" w:name="_Toc530498371"/>
      <w:r>
        <w:rPr>
          <w:rFonts w:hint="eastAsia" w:ascii="仿宋" w:hAnsi="仿宋" w:eastAsia="仿宋" w:cs="仿宋"/>
          <w:sz w:val="24"/>
          <w:highlight w:val="none"/>
        </w:rPr>
        <w:t xml:space="preserve"> 定标</w:t>
      </w:r>
      <w:bookmarkEnd w:id="109"/>
      <w:bookmarkEnd w:id="110"/>
      <w:bookmarkEnd w:id="111"/>
    </w:p>
    <w:p>
      <w:pPr>
        <w:pStyle w:val="33"/>
        <w:numPr>
          <w:ilvl w:val="1"/>
          <w:numId w:val="5"/>
        </w:numPr>
        <w:spacing w:line="360" w:lineRule="auto"/>
        <w:ind w:firstLineChars="0"/>
        <w:rPr>
          <w:rFonts w:hint="eastAsia" w:ascii="仿宋" w:hAnsi="仿宋" w:eastAsia="仿宋" w:cs="仿宋"/>
          <w:vanish/>
          <w:sz w:val="24"/>
          <w:highlight w:val="none"/>
        </w:rPr>
      </w:pPr>
    </w:p>
    <w:p>
      <w:pPr>
        <w:numPr>
          <w:ilvl w:val="2"/>
          <w:numId w:val="4"/>
        </w:numPr>
        <w:spacing w:line="360" w:lineRule="auto"/>
        <w:ind w:left="720" w:hangingChars="300"/>
        <w:rPr>
          <w:rFonts w:hint="eastAsia" w:ascii="仿宋" w:hAnsi="仿宋" w:eastAsia="仿宋" w:cs="仿宋"/>
          <w:sz w:val="24"/>
          <w:highlight w:val="none"/>
        </w:rPr>
      </w:pPr>
      <w:r>
        <w:rPr>
          <w:rFonts w:hint="eastAsia" w:ascii="仿宋" w:hAnsi="仿宋" w:eastAsia="仿宋" w:cs="仿宋"/>
          <w:sz w:val="24"/>
          <w:highlight w:val="none"/>
        </w:rPr>
        <w:t>评标委员会根据专家打分表综合排序和评审情况，提交评标报告，报采购人确定。</w:t>
      </w:r>
    </w:p>
    <w:p>
      <w:pPr>
        <w:numPr>
          <w:ilvl w:val="2"/>
          <w:numId w:val="4"/>
        </w:numPr>
        <w:spacing w:line="360" w:lineRule="auto"/>
        <w:ind w:left="720" w:hangingChars="300"/>
        <w:rPr>
          <w:rFonts w:hint="eastAsia" w:ascii="仿宋" w:hAnsi="仿宋" w:eastAsia="仿宋" w:cs="仿宋"/>
          <w:sz w:val="24"/>
          <w:highlight w:val="none"/>
        </w:rPr>
      </w:pPr>
      <w:r>
        <w:rPr>
          <w:rFonts w:hint="eastAsia" w:ascii="仿宋" w:hAnsi="仿宋" w:eastAsia="仿宋" w:cs="仿宋"/>
          <w:sz w:val="24"/>
          <w:highlight w:val="none"/>
        </w:rPr>
        <w:t>中标候选人不能按照采购人规定的进度，经双方协商后不能达成一致意见，将取消中标候选人资格。</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或采购组织机构保留在授标之前任何时候接受或拒绝任何竞谈响应，以及宣布竞谈程序无效或拒绝所有竞谈响应的权力，对受影响的竞谈响应人不承担任何责任，也无义务向受影响的竞谈响应人解释采取这一行动的理由。</w:t>
      </w:r>
    </w:p>
    <w:p>
      <w:pPr>
        <w:pStyle w:val="6"/>
        <w:rPr>
          <w:rFonts w:hint="eastAsia" w:cs="仿宋"/>
          <w:highlight w:val="none"/>
        </w:rPr>
      </w:pPr>
      <w:r>
        <w:rPr>
          <w:rFonts w:hint="eastAsia" w:cs="仿宋"/>
          <w:highlight w:val="none"/>
        </w:rPr>
        <w:t>4.4  谈判记录</w:t>
      </w:r>
      <w:bookmarkEnd w:id="105"/>
      <w:bookmarkEnd w:id="106"/>
      <w:bookmarkEnd w:id="107"/>
      <w:bookmarkEnd w:id="108"/>
    </w:p>
    <w:p>
      <w:pPr>
        <w:spacing w:line="360" w:lineRule="auto"/>
        <w:ind w:firstLine="480" w:firstLineChars="200"/>
        <w:rPr>
          <w:rFonts w:hint="eastAsia" w:ascii="仿宋" w:hAnsi="仿宋" w:eastAsia="仿宋" w:cs="仿宋"/>
          <w:bCs/>
          <w:kern w:val="0"/>
          <w:sz w:val="24"/>
          <w:highlight w:val="none"/>
        </w:rPr>
      </w:pPr>
      <w:bookmarkStart w:id="112" w:name="_Toc514920903"/>
      <w:bookmarkStart w:id="113" w:name="_Toc449101804"/>
      <w:bookmarkStart w:id="114" w:name="_Toc514919753"/>
      <w:r>
        <w:rPr>
          <w:rFonts w:hint="eastAsia" w:ascii="仿宋" w:hAnsi="仿宋" w:eastAsia="仿宋" w:cs="仿宋"/>
          <w:bCs/>
          <w:kern w:val="0"/>
          <w:sz w:val="24"/>
          <w:highlight w:val="none"/>
        </w:rPr>
        <w:t>（1）谈判小组根据谈判情况和结果，向采购人提交谈判报告。谈判报告由谈判小组组长起草，谈判小组全体成员在谈判报告上签字确认，如有保留意见可以在谈判报告中阐明。</w:t>
      </w:r>
      <w:bookmarkEnd w:id="112"/>
      <w:bookmarkEnd w:id="113"/>
      <w:bookmarkEnd w:id="114"/>
    </w:p>
    <w:p>
      <w:pPr>
        <w:spacing w:line="360" w:lineRule="auto"/>
        <w:ind w:firstLine="480" w:firstLineChars="200"/>
        <w:rPr>
          <w:rFonts w:hint="eastAsia" w:ascii="仿宋" w:hAnsi="仿宋" w:eastAsia="仿宋" w:cs="仿宋"/>
          <w:bCs/>
          <w:kern w:val="0"/>
          <w:sz w:val="24"/>
          <w:highlight w:val="none"/>
        </w:rPr>
      </w:pPr>
      <w:bookmarkStart w:id="115" w:name="_Toc514920904"/>
      <w:bookmarkStart w:id="116" w:name="_Toc449101805"/>
      <w:bookmarkStart w:id="117" w:name="_Toc514919754"/>
      <w:r>
        <w:rPr>
          <w:rFonts w:hint="eastAsia" w:ascii="仿宋" w:hAnsi="仿宋" w:eastAsia="仿宋" w:cs="仿宋"/>
          <w:bCs/>
          <w:kern w:val="0"/>
          <w:sz w:val="24"/>
          <w:highlight w:val="none"/>
        </w:rPr>
        <w:t>（2）谈判小组在谈判报告中推荐成交候选人。</w:t>
      </w:r>
      <w:bookmarkEnd w:id="115"/>
      <w:bookmarkEnd w:id="116"/>
      <w:bookmarkEnd w:id="117"/>
    </w:p>
    <w:p>
      <w:pPr>
        <w:spacing w:line="360" w:lineRule="auto"/>
        <w:ind w:firstLine="480" w:firstLineChars="200"/>
        <w:rPr>
          <w:rFonts w:hint="eastAsia" w:ascii="仿宋" w:hAnsi="仿宋" w:eastAsia="仿宋" w:cs="仿宋"/>
          <w:bCs/>
          <w:kern w:val="0"/>
          <w:sz w:val="24"/>
          <w:highlight w:val="none"/>
        </w:rPr>
      </w:pPr>
      <w:bookmarkStart w:id="118" w:name="_Toc514920905"/>
      <w:bookmarkStart w:id="119" w:name="_Toc514919755"/>
      <w:bookmarkStart w:id="120" w:name="_Toc449101806"/>
      <w:r>
        <w:rPr>
          <w:rFonts w:hint="eastAsia" w:ascii="仿宋" w:hAnsi="仿宋" w:eastAsia="仿宋" w:cs="仿宋"/>
          <w:bCs/>
          <w:kern w:val="0"/>
          <w:sz w:val="24"/>
          <w:highlight w:val="none"/>
        </w:rPr>
        <w:t>（3）谈判报告应包括以下内容：</w:t>
      </w:r>
      <w:bookmarkEnd w:id="118"/>
      <w:bookmarkEnd w:id="119"/>
      <w:bookmarkEnd w:id="120"/>
    </w:p>
    <w:p>
      <w:pPr>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1）符合性评审过程和结果</w:t>
      </w:r>
    </w:p>
    <w:p>
      <w:pPr>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包括算术错误检查、澄清问题及答复，若有资格不符合应对其情况和依据进行说明；</w:t>
      </w:r>
    </w:p>
    <w:p>
      <w:pPr>
        <w:spacing w:line="360" w:lineRule="auto"/>
        <w:ind w:firstLine="480" w:firstLineChars="200"/>
        <w:rPr>
          <w:rFonts w:hint="eastAsia" w:ascii="仿宋" w:hAnsi="仿宋" w:eastAsia="仿宋" w:cs="仿宋"/>
          <w:bCs/>
          <w:kern w:val="0"/>
          <w:sz w:val="24"/>
          <w:highlight w:val="none"/>
        </w:rPr>
      </w:pPr>
      <w:bookmarkStart w:id="121" w:name="_Toc449101807"/>
      <w:bookmarkStart w:id="122" w:name="_Toc514920906"/>
      <w:bookmarkStart w:id="123" w:name="_Toc514919756"/>
      <w:r>
        <w:rPr>
          <w:rFonts w:hint="eastAsia" w:ascii="仿宋" w:hAnsi="仿宋" w:eastAsia="仿宋" w:cs="仿宋"/>
          <w:bCs/>
          <w:kern w:val="0"/>
          <w:sz w:val="24"/>
          <w:highlight w:val="none"/>
        </w:rPr>
        <w:t>2）与响应人一对一谈判内容记录；</w:t>
      </w:r>
      <w:bookmarkEnd w:id="121"/>
      <w:bookmarkEnd w:id="122"/>
      <w:bookmarkEnd w:id="123"/>
    </w:p>
    <w:p>
      <w:pPr>
        <w:spacing w:line="360" w:lineRule="auto"/>
        <w:ind w:firstLine="480" w:firstLineChars="200"/>
        <w:rPr>
          <w:rFonts w:hint="eastAsia" w:ascii="仿宋" w:hAnsi="仿宋" w:eastAsia="仿宋" w:cs="仿宋"/>
          <w:bCs/>
          <w:kern w:val="0"/>
          <w:sz w:val="24"/>
          <w:highlight w:val="none"/>
        </w:rPr>
      </w:pPr>
      <w:bookmarkStart w:id="124" w:name="_Toc449101809"/>
      <w:bookmarkStart w:id="125" w:name="_Toc514920908"/>
      <w:bookmarkStart w:id="126" w:name="_Toc514919758"/>
      <w:r>
        <w:rPr>
          <w:rFonts w:hint="eastAsia" w:ascii="仿宋" w:hAnsi="仿宋" w:eastAsia="仿宋" w:cs="仿宋"/>
          <w:bCs/>
          <w:kern w:val="0"/>
          <w:sz w:val="24"/>
          <w:highlight w:val="none"/>
        </w:rPr>
        <w:t>3）推荐首备选成交供应商。</w:t>
      </w:r>
      <w:bookmarkEnd w:id="124"/>
      <w:bookmarkEnd w:id="125"/>
      <w:bookmarkEnd w:id="126"/>
    </w:p>
    <w:p>
      <w:pP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4.5  废标</w:t>
      </w:r>
    </w:p>
    <w:p>
      <w:pPr>
        <w:spacing w:line="360" w:lineRule="auto"/>
        <w:ind w:left="539"/>
        <w:rPr>
          <w:rFonts w:hint="eastAsia" w:ascii="仿宋" w:hAnsi="仿宋" w:eastAsia="仿宋" w:cs="仿宋"/>
          <w:sz w:val="24"/>
          <w:highlight w:val="none"/>
        </w:rPr>
      </w:pPr>
      <w:bookmarkStart w:id="127" w:name="_Toc431150205"/>
      <w:bookmarkStart w:id="128" w:name="_Toc429570972"/>
      <w:bookmarkStart w:id="129" w:name="_Toc434479605"/>
      <w:bookmarkStart w:id="130" w:name="_Toc58490798"/>
      <w:bookmarkStart w:id="131" w:name="_Toc433814082"/>
      <w:r>
        <w:rPr>
          <w:rFonts w:hint="eastAsia" w:ascii="仿宋" w:hAnsi="仿宋" w:eastAsia="仿宋" w:cs="仿宋"/>
          <w:sz w:val="24"/>
          <w:highlight w:val="none"/>
        </w:rPr>
        <w:t>发生下列情况之一者，视为废标：</w:t>
      </w:r>
    </w:p>
    <w:p>
      <w:pPr>
        <w:pStyle w:val="33"/>
        <w:numPr>
          <w:ilvl w:val="1"/>
          <w:numId w:val="5"/>
        </w:numPr>
        <w:spacing w:line="360" w:lineRule="auto"/>
        <w:ind w:firstLineChars="0"/>
        <w:rPr>
          <w:rFonts w:hint="eastAsia" w:ascii="仿宋" w:hAnsi="仿宋" w:eastAsia="仿宋" w:cs="仿宋"/>
          <w:vanish/>
          <w:sz w:val="24"/>
          <w:highlight w:val="none"/>
        </w:rPr>
      </w:pPr>
    </w:p>
    <w:p>
      <w:pPr>
        <w:numPr>
          <w:ilvl w:val="0"/>
          <w:numId w:val="6"/>
        </w:numPr>
        <w:spacing w:line="360" w:lineRule="auto"/>
        <w:ind w:left="823" w:leftChars="200" w:hanging="403"/>
        <w:rPr>
          <w:rFonts w:hint="eastAsia" w:ascii="仿宋" w:hAnsi="仿宋" w:eastAsia="仿宋" w:cs="仿宋"/>
          <w:sz w:val="24"/>
          <w:highlight w:val="none"/>
        </w:rPr>
      </w:pPr>
      <w:r>
        <w:rPr>
          <w:rFonts w:hint="eastAsia" w:ascii="仿宋" w:hAnsi="仿宋" w:eastAsia="仿宋" w:cs="仿宋"/>
          <w:sz w:val="24"/>
          <w:highlight w:val="none"/>
        </w:rPr>
        <w:t>竞谈响应文件未按规定密封和/或竞谈响应文件未按规定加盖公章和签字。</w:t>
      </w:r>
    </w:p>
    <w:p>
      <w:pPr>
        <w:numPr>
          <w:ilvl w:val="0"/>
          <w:numId w:val="6"/>
        </w:numPr>
        <w:spacing w:line="360" w:lineRule="auto"/>
        <w:ind w:left="823" w:leftChars="200" w:hanging="403"/>
        <w:rPr>
          <w:rFonts w:hint="eastAsia" w:ascii="仿宋" w:hAnsi="仿宋" w:eastAsia="仿宋" w:cs="仿宋"/>
          <w:sz w:val="24"/>
          <w:highlight w:val="none"/>
        </w:rPr>
      </w:pPr>
      <w:r>
        <w:rPr>
          <w:rFonts w:hint="eastAsia" w:ascii="仿宋" w:hAnsi="仿宋" w:eastAsia="仿宋" w:cs="仿宋"/>
          <w:sz w:val="24"/>
          <w:highlight w:val="none"/>
        </w:rPr>
        <w:t>竞谈响应人提供的证明资料与事实不符。</w:t>
      </w:r>
    </w:p>
    <w:p>
      <w:pPr>
        <w:numPr>
          <w:ilvl w:val="0"/>
          <w:numId w:val="6"/>
        </w:numPr>
        <w:spacing w:line="360" w:lineRule="auto"/>
        <w:ind w:left="823" w:leftChars="200" w:hanging="403"/>
        <w:rPr>
          <w:rFonts w:hint="eastAsia" w:ascii="仿宋" w:hAnsi="仿宋" w:eastAsia="仿宋" w:cs="仿宋"/>
          <w:sz w:val="24"/>
          <w:highlight w:val="none"/>
        </w:rPr>
      </w:pPr>
      <w:r>
        <w:rPr>
          <w:rFonts w:hint="eastAsia" w:ascii="仿宋" w:hAnsi="仿宋" w:eastAsia="仿宋" w:cs="仿宋"/>
          <w:sz w:val="24"/>
          <w:highlight w:val="none"/>
        </w:rPr>
        <w:t>经查实不符合对采购人资质规定要求的情况。</w:t>
      </w:r>
    </w:p>
    <w:p>
      <w:pPr>
        <w:numPr>
          <w:ilvl w:val="0"/>
          <w:numId w:val="6"/>
        </w:numPr>
        <w:spacing w:line="360" w:lineRule="auto"/>
        <w:ind w:left="823" w:leftChars="200" w:hanging="403"/>
        <w:rPr>
          <w:rFonts w:hint="eastAsia" w:ascii="仿宋" w:hAnsi="仿宋" w:eastAsia="仿宋" w:cs="仿宋"/>
          <w:sz w:val="24"/>
          <w:highlight w:val="none"/>
        </w:rPr>
      </w:pPr>
      <w:r>
        <w:rPr>
          <w:rFonts w:hint="eastAsia" w:ascii="仿宋" w:hAnsi="仿宋" w:eastAsia="仿宋" w:cs="仿宋"/>
          <w:sz w:val="24"/>
          <w:highlight w:val="none"/>
        </w:rPr>
        <w:t>对于采购人对竞谈内容进行拆分，采取分别中标，重新组合的方法不予接受。</w:t>
      </w:r>
    </w:p>
    <w:p>
      <w:pPr>
        <w:numPr>
          <w:ilvl w:val="0"/>
          <w:numId w:val="6"/>
        </w:numPr>
        <w:spacing w:line="360" w:lineRule="auto"/>
        <w:ind w:left="823" w:leftChars="200" w:hanging="403"/>
        <w:rPr>
          <w:rFonts w:hint="eastAsia" w:ascii="仿宋" w:hAnsi="仿宋" w:eastAsia="仿宋" w:cs="仿宋"/>
          <w:sz w:val="24"/>
          <w:highlight w:val="none"/>
        </w:rPr>
      </w:pPr>
      <w:r>
        <w:rPr>
          <w:rFonts w:hint="eastAsia" w:ascii="仿宋" w:hAnsi="仿宋" w:eastAsia="仿宋" w:cs="仿宋"/>
          <w:sz w:val="24"/>
          <w:highlight w:val="none"/>
        </w:rPr>
        <w:t>竞谈响应文件未按规定格式、内容填写和/或竞谈响应文件内容与竞谈文件有严重背离（如：付款条件严重偏离竞谈文件的要求）。</w:t>
      </w:r>
    </w:p>
    <w:p>
      <w:pPr>
        <w:numPr>
          <w:ilvl w:val="0"/>
          <w:numId w:val="6"/>
        </w:numPr>
        <w:spacing w:line="360" w:lineRule="auto"/>
        <w:ind w:left="823" w:leftChars="200" w:hanging="403"/>
        <w:rPr>
          <w:rFonts w:hint="eastAsia" w:ascii="仿宋" w:hAnsi="仿宋" w:eastAsia="仿宋" w:cs="仿宋"/>
          <w:sz w:val="24"/>
          <w:highlight w:val="none"/>
        </w:rPr>
      </w:pPr>
      <w:r>
        <w:rPr>
          <w:rFonts w:hint="eastAsia" w:ascii="仿宋" w:hAnsi="仿宋" w:eastAsia="仿宋" w:cs="仿宋"/>
          <w:sz w:val="24"/>
          <w:highlight w:val="none"/>
        </w:rPr>
        <w:t>竞谈响应文件含有采购人不能接受的附加条件。</w:t>
      </w:r>
    </w:p>
    <w:p>
      <w:pPr>
        <w:numPr>
          <w:ilvl w:val="0"/>
          <w:numId w:val="6"/>
        </w:numPr>
        <w:spacing w:line="360" w:lineRule="auto"/>
        <w:ind w:left="823" w:leftChars="200" w:hanging="403"/>
        <w:rPr>
          <w:rFonts w:hint="eastAsia" w:ascii="仿宋" w:hAnsi="仿宋" w:eastAsia="仿宋" w:cs="仿宋"/>
          <w:sz w:val="24"/>
          <w:highlight w:val="none"/>
        </w:rPr>
      </w:pPr>
      <w:r>
        <w:rPr>
          <w:rFonts w:hint="eastAsia" w:ascii="仿宋" w:hAnsi="仿宋" w:eastAsia="仿宋" w:cs="仿宋"/>
          <w:sz w:val="24"/>
          <w:highlight w:val="none"/>
        </w:rPr>
        <w:t>不符合竞谈文件中规定的其他实质性要求。</w:t>
      </w:r>
    </w:p>
    <w:p>
      <w:pPr>
        <w:numPr>
          <w:ilvl w:val="0"/>
          <w:numId w:val="6"/>
        </w:numPr>
        <w:spacing w:line="360" w:lineRule="auto"/>
        <w:ind w:left="823" w:leftChars="200" w:hanging="403"/>
        <w:rPr>
          <w:rFonts w:hint="eastAsia" w:ascii="仿宋" w:hAnsi="仿宋" w:eastAsia="仿宋" w:cs="仿宋"/>
          <w:sz w:val="24"/>
          <w:highlight w:val="none"/>
        </w:rPr>
      </w:pPr>
      <w:r>
        <w:rPr>
          <w:rFonts w:hint="eastAsia" w:ascii="仿宋" w:hAnsi="仿宋" w:eastAsia="仿宋" w:cs="仿宋"/>
          <w:sz w:val="24"/>
          <w:highlight w:val="none"/>
        </w:rPr>
        <w:t>在竞谈响应或评标过程中，竞谈响应人有违纪行为。</w:t>
      </w:r>
    </w:p>
    <w:p>
      <w:pPr>
        <w:numPr>
          <w:ilvl w:val="0"/>
          <w:numId w:val="6"/>
        </w:numPr>
        <w:spacing w:line="360" w:lineRule="auto"/>
        <w:ind w:left="823" w:leftChars="200" w:hanging="403"/>
        <w:rPr>
          <w:rFonts w:hint="eastAsia" w:ascii="仿宋" w:hAnsi="仿宋" w:eastAsia="仿宋" w:cs="仿宋"/>
          <w:sz w:val="24"/>
          <w:highlight w:val="none"/>
        </w:rPr>
      </w:pPr>
      <w:r>
        <w:rPr>
          <w:rFonts w:hint="eastAsia" w:ascii="仿宋" w:hAnsi="仿宋" w:eastAsia="仿宋" w:cs="仿宋"/>
          <w:sz w:val="24"/>
          <w:highlight w:val="none"/>
        </w:rPr>
        <w:t>竞谈响应文件中漏报、少报部分报价。</w:t>
      </w:r>
    </w:p>
    <w:p>
      <w:pPr>
        <w:pStyle w:val="5"/>
        <w:rPr>
          <w:rFonts w:hint="eastAsia" w:cs="仿宋"/>
          <w:highlight w:val="none"/>
        </w:rPr>
      </w:pPr>
      <w:r>
        <w:rPr>
          <w:rFonts w:hint="eastAsia" w:cs="仿宋"/>
          <w:highlight w:val="none"/>
        </w:rPr>
        <w:t>5、</w:t>
      </w:r>
      <w:bookmarkStart w:id="132" w:name="合同授予"/>
      <w:r>
        <w:rPr>
          <w:rFonts w:hint="eastAsia" w:cs="仿宋"/>
          <w:highlight w:val="none"/>
        </w:rPr>
        <w:t>合同授予</w:t>
      </w:r>
      <w:bookmarkEnd w:id="127"/>
      <w:bookmarkEnd w:id="128"/>
      <w:bookmarkEnd w:id="129"/>
      <w:bookmarkEnd w:id="130"/>
      <w:bookmarkEnd w:id="131"/>
      <w:r>
        <w:rPr>
          <w:rFonts w:hint="eastAsia" w:cs="仿宋"/>
          <w:highlight w:val="none"/>
        </w:rPr>
        <w:t xml:space="preserve"> </w:t>
      </w:r>
      <w:bookmarkEnd w:id="132"/>
    </w:p>
    <w:p>
      <w:pPr>
        <w:pStyle w:val="6"/>
        <w:rPr>
          <w:rFonts w:hint="eastAsia" w:cs="仿宋"/>
          <w:highlight w:val="none"/>
        </w:rPr>
      </w:pPr>
      <w:bookmarkStart w:id="133" w:name="_Toc449101811"/>
      <w:bookmarkStart w:id="134" w:name="_Toc58490799"/>
      <w:bookmarkStart w:id="135" w:name="_Toc514919760"/>
      <w:bookmarkStart w:id="136" w:name="_Toc444296351"/>
      <w:bookmarkStart w:id="137" w:name="_Toc514920910"/>
      <w:r>
        <w:rPr>
          <w:rFonts w:hint="eastAsia" w:cs="仿宋"/>
          <w:highlight w:val="none"/>
        </w:rPr>
        <w:t>5.1  合同授予</w:t>
      </w:r>
      <w:bookmarkEnd w:id="133"/>
      <w:bookmarkEnd w:id="134"/>
      <w:bookmarkEnd w:id="135"/>
      <w:bookmarkEnd w:id="136"/>
      <w:bookmarkEnd w:id="137"/>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采购人将把合同授予符合下述要求的响应人：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（1）响应人满足谈判采购文件要求；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（2）按谈判采购文件规定的评审办法推荐的成交候选人。</w:t>
      </w:r>
    </w:p>
    <w:p>
      <w:pPr>
        <w:pStyle w:val="6"/>
        <w:rPr>
          <w:rFonts w:hint="eastAsia" w:cs="仿宋"/>
          <w:highlight w:val="none"/>
        </w:rPr>
      </w:pPr>
      <w:bookmarkStart w:id="138" w:name="_Toc449101812"/>
      <w:bookmarkStart w:id="139" w:name="_Toc444296352"/>
      <w:bookmarkStart w:id="140" w:name="_Toc514919761"/>
      <w:bookmarkStart w:id="141" w:name="_Toc58490800"/>
      <w:bookmarkStart w:id="142" w:name="_Toc514920911"/>
      <w:r>
        <w:rPr>
          <w:rFonts w:hint="eastAsia" w:cs="仿宋"/>
          <w:highlight w:val="none"/>
        </w:rPr>
        <w:t>5.2  采购人在授标时保留的权利</w:t>
      </w:r>
      <w:bookmarkEnd w:id="138"/>
      <w:bookmarkEnd w:id="139"/>
      <w:bookmarkEnd w:id="140"/>
      <w:bookmarkEnd w:id="141"/>
      <w:bookmarkEnd w:id="142"/>
      <w:r>
        <w:rPr>
          <w:rFonts w:hint="eastAsia" w:cs="仿宋"/>
          <w:highlight w:val="none"/>
        </w:rPr>
        <w:t xml:space="preserve">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采购人在授予合同时有权对合同非实质性条款进行增减或变更； </w:t>
      </w:r>
    </w:p>
    <w:p>
      <w:pPr>
        <w:pStyle w:val="6"/>
        <w:rPr>
          <w:rFonts w:hint="eastAsia" w:cs="仿宋"/>
          <w:highlight w:val="none"/>
        </w:rPr>
      </w:pPr>
      <w:bookmarkStart w:id="143" w:name="_Toc514920912"/>
      <w:bookmarkStart w:id="144" w:name="_Toc514919762"/>
      <w:bookmarkStart w:id="145" w:name="_Toc58490801"/>
      <w:bookmarkStart w:id="146" w:name="_Toc444296353"/>
      <w:bookmarkStart w:id="147" w:name="_Toc449101813"/>
      <w:r>
        <w:rPr>
          <w:rFonts w:hint="eastAsia" w:cs="仿宋"/>
          <w:highlight w:val="none"/>
        </w:rPr>
        <w:t>5.3  合同的签订</w:t>
      </w:r>
      <w:bookmarkEnd w:id="143"/>
      <w:bookmarkEnd w:id="144"/>
      <w:bookmarkEnd w:id="145"/>
      <w:bookmarkEnd w:id="146"/>
      <w:bookmarkEnd w:id="147"/>
      <w:r>
        <w:rPr>
          <w:rFonts w:hint="eastAsia" w:cs="仿宋"/>
          <w:highlight w:val="none"/>
        </w:rPr>
        <w:t xml:space="preserve">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采购人与成交人协商签订书面合同； </w:t>
      </w:r>
    </w:p>
    <w:p>
      <w:pPr>
        <w:pStyle w:val="5"/>
        <w:rPr>
          <w:rFonts w:hint="eastAsia" w:cs="仿宋"/>
          <w:highlight w:val="none"/>
        </w:rPr>
      </w:pPr>
      <w:bookmarkStart w:id="148" w:name="_Toc431150206"/>
      <w:bookmarkStart w:id="149" w:name="_Toc433814083"/>
      <w:bookmarkStart w:id="150" w:name="_Toc429570973"/>
      <w:bookmarkStart w:id="151" w:name="_Toc434479606"/>
      <w:bookmarkStart w:id="152" w:name="_Toc58490803"/>
      <w:r>
        <w:rPr>
          <w:rFonts w:hint="eastAsia" w:cs="仿宋"/>
          <w:highlight w:val="none"/>
        </w:rPr>
        <w:t>6、</w:t>
      </w:r>
      <w:bookmarkStart w:id="153" w:name="纪律和监督"/>
      <w:r>
        <w:rPr>
          <w:rFonts w:hint="eastAsia" w:cs="仿宋"/>
          <w:highlight w:val="none"/>
        </w:rPr>
        <w:t>纪律和监督</w:t>
      </w:r>
      <w:bookmarkEnd w:id="148"/>
      <w:bookmarkEnd w:id="149"/>
      <w:bookmarkEnd w:id="150"/>
      <w:bookmarkEnd w:id="151"/>
      <w:bookmarkEnd w:id="152"/>
      <w:r>
        <w:rPr>
          <w:rFonts w:hint="eastAsia" w:cs="仿宋"/>
          <w:highlight w:val="none"/>
        </w:rPr>
        <w:t xml:space="preserve"> </w:t>
      </w:r>
    </w:p>
    <w:bookmarkEnd w:id="153"/>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（1）采购人不得泄漏本次谈判采购工作中应当保密的情况和资料，不得与响应人串通损害国家利益、社会公共利益或者他人合法权益。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（2）响应人不得相互串通谈判或者与采购人串通谈判，不得向采购人或者谈判小组成员行贿谋取成交，不得以他人名义谈判或者以其他方式弄虚作假骗取成交；响应人不得以任何方式干扰、影响评审工作。 </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（3）谈判小组成员不得收受他人的财物或者其他好处，不得向他人透漏对竞争性谈判响应文件的评审和比较、成交候选人的推荐情况以及评审有关的其他情况。</w:t>
      </w:r>
    </w:p>
    <w:p>
      <w:pPr>
        <w:pStyle w:val="5"/>
        <w:rPr>
          <w:rFonts w:hint="eastAsia" w:cs="仿宋"/>
          <w:highlight w:val="none"/>
        </w:rPr>
      </w:pPr>
      <w:r>
        <w:rPr>
          <w:rFonts w:hint="eastAsia" w:cs="仿宋"/>
          <w:highlight w:val="none"/>
        </w:rPr>
        <w:t>7、需要补充的其他内容</w:t>
      </w:r>
    </w:p>
    <w:p>
      <w:pPr>
        <w:autoSpaceDE w:val="0"/>
        <w:autoSpaceDN w:val="0"/>
        <w:adjustRightInd w:val="0"/>
        <w:spacing w:line="360" w:lineRule="auto"/>
        <w:ind w:firstLine="482"/>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7.1  低于成本价的处理方式</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7.1.1 评审过程中，谈判响应人报价若低于国家信息价或远低于成本价，可能影响货物质量或者不能诚信履约的，谈判小组将要求其在谈判现场合理的时间内提供书面说明，并提交相关证明材料。</w:t>
      </w:r>
    </w:p>
    <w:p>
      <w:pPr>
        <w:autoSpaceDE w:val="0"/>
        <w:autoSpaceDN w:val="0"/>
        <w:adjustRightInd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highlight w:val="none"/>
        </w:rPr>
        <w:t>7.1.2 谈判响应人拒绝或者变相拒绝提供有效书面说明或者书面说明不能证明其报价合理性的或未在规定时间内递交有效书面说明书的，谈判小组将对该响应文件按无效处理。</w:t>
      </w:r>
    </w:p>
    <w:p>
      <w:pPr>
        <w:autoSpaceDE w:val="0"/>
        <w:autoSpaceDN w:val="0"/>
        <w:adjustRightInd w:val="0"/>
        <w:spacing w:line="360" w:lineRule="auto"/>
        <w:ind w:firstLine="482"/>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7.2  成交原则</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szCs w:val="24"/>
          <w:highlight w:val="none"/>
        </w:rPr>
        <w:t>按最终综合评分最高的谈判采购响应人作为成交供应商</w:t>
      </w:r>
      <w:r>
        <w:rPr>
          <w:rFonts w:hint="eastAsia" w:ascii="仿宋" w:hAnsi="仿宋" w:eastAsia="仿宋" w:cs="仿宋"/>
          <w:sz w:val="24"/>
          <w:highlight w:val="none"/>
        </w:rPr>
        <w:t>。</w:t>
      </w:r>
    </w:p>
    <w:p>
      <w:pPr>
        <w:autoSpaceDE w:val="0"/>
        <w:autoSpaceDN w:val="0"/>
        <w:adjustRightInd w:val="0"/>
        <w:spacing w:line="360" w:lineRule="auto"/>
        <w:ind w:firstLine="482"/>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7.3  其他约定</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kern w:val="0"/>
          <w:sz w:val="24"/>
          <w:szCs w:val="22"/>
          <w:highlight w:val="none"/>
        </w:rPr>
      </w:pPr>
      <w:r>
        <w:rPr>
          <w:rFonts w:hint="eastAsia" w:ascii="仿宋" w:hAnsi="仿宋" w:eastAsia="仿宋" w:cs="仿宋"/>
          <w:kern w:val="0"/>
          <w:sz w:val="24"/>
          <w:szCs w:val="22"/>
          <w:highlight w:val="none"/>
        </w:rPr>
        <w:t xml:space="preserve">7.3.1在产品购销合同签订的同时供需双方应签订保廉合同。                                  </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kern w:val="0"/>
          <w:sz w:val="24"/>
          <w:szCs w:val="22"/>
          <w:highlight w:val="none"/>
        </w:rPr>
      </w:pPr>
      <w:r>
        <w:rPr>
          <w:rFonts w:hint="eastAsia" w:ascii="仿宋" w:hAnsi="仿宋" w:eastAsia="仿宋" w:cs="仿宋"/>
          <w:kern w:val="0"/>
          <w:sz w:val="24"/>
          <w:szCs w:val="22"/>
          <w:highlight w:val="none"/>
        </w:rPr>
        <w:t>7.3.2报价文件、成交通知书、履约保函、保廉合同都是本合同的组成部分，具有同等法律效力。</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kern w:val="0"/>
          <w:sz w:val="24"/>
          <w:szCs w:val="22"/>
          <w:highlight w:val="none"/>
        </w:rPr>
      </w:pPr>
      <w:r>
        <w:rPr>
          <w:rFonts w:hint="eastAsia" w:ascii="仿宋" w:hAnsi="仿宋" w:eastAsia="仿宋" w:cs="仿宋"/>
          <w:kern w:val="0"/>
          <w:sz w:val="24"/>
          <w:szCs w:val="22"/>
          <w:highlight w:val="none"/>
        </w:rPr>
        <w:t>7.3.3本次采购的主要付款方式为：</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kern w:val="0"/>
          <w:sz w:val="24"/>
          <w:szCs w:val="22"/>
          <w:highlight w:val="none"/>
        </w:rPr>
      </w:pPr>
      <w:bookmarkStart w:id="154" w:name="第四章"/>
      <w:bookmarkEnd w:id="154"/>
      <w:bookmarkStart w:id="155" w:name="_Hlk56155314"/>
      <w:r>
        <w:rPr>
          <w:rFonts w:hint="eastAsia" w:ascii="仿宋" w:hAnsi="仿宋" w:eastAsia="仿宋" w:cs="仿宋"/>
          <w:kern w:val="0"/>
          <w:sz w:val="24"/>
          <w:szCs w:val="22"/>
          <w:highlight w:val="none"/>
        </w:rPr>
        <w:t>a.合同生效以及具备实施条件后7个工作日内，将下列单据提供给甲方，甲方审核无误后15个工作日内支付乙方合同总额的 20%。</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kern w:val="0"/>
          <w:sz w:val="24"/>
          <w:szCs w:val="22"/>
          <w:highlight w:val="none"/>
        </w:rPr>
      </w:pPr>
      <w:r>
        <w:rPr>
          <w:rFonts w:hint="eastAsia" w:ascii="仿宋" w:hAnsi="仿宋" w:eastAsia="仿宋" w:cs="仿宋"/>
          <w:kern w:val="0"/>
          <w:sz w:val="24"/>
          <w:szCs w:val="22"/>
          <w:highlight w:val="none"/>
        </w:rPr>
        <w:t>(1)金额为合同总额 20 %的增值税专用发票。</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kern w:val="0"/>
          <w:sz w:val="24"/>
          <w:szCs w:val="22"/>
          <w:highlight w:val="none"/>
        </w:rPr>
      </w:pPr>
      <w:r>
        <w:rPr>
          <w:rFonts w:hint="eastAsia" w:ascii="仿宋" w:hAnsi="仿宋" w:eastAsia="仿宋" w:cs="仿宋"/>
          <w:kern w:val="0"/>
          <w:sz w:val="24"/>
          <w:szCs w:val="22"/>
          <w:highlight w:val="none"/>
        </w:rPr>
        <w:t>b.乙方实现合同中规定的系统功能要求，并经系统最终验收合格后，将下列单据提供给甲方，甲方审核无误后15个工作日内支付乙方合同总额的80%。</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kern w:val="0"/>
          <w:sz w:val="24"/>
          <w:szCs w:val="22"/>
          <w:highlight w:val="none"/>
        </w:rPr>
      </w:pPr>
      <w:r>
        <w:rPr>
          <w:rFonts w:hint="eastAsia" w:ascii="仿宋" w:hAnsi="仿宋" w:eastAsia="仿宋" w:cs="仿宋"/>
          <w:kern w:val="0"/>
          <w:sz w:val="24"/>
          <w:szCs w:val="22"/>
          <w:highlight w:val="none"/>
        </w:rPr>
        <w:t>(1)甲乙双方授权代表确认的系统验收合格报告。</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bCs/>
          <w:kern w:val="0"/>
          <w:sz w:val="24"/>
          <w:highlight w:val="none"/>
        </w:rPr>
      </w:pPr>
      <w:r>
        <w:rPr>
          <w:rFonts w:hint="eastAsia" w:ascii="仿宋" w:hAnsi="仿宋" w:eastAsia="仿宋" w:cs="仿宋"/>
          <w:kern w:val="0"/>
          <w:sz w:val="24"/>
          <w:szCs w:val="22"/>
          <w:highlight w:val="none"/>
        </w:rPr>
        <w:t>(2)金额为合同总额80%的增值税专用发票。</w:t>
      </w:r>
      <w:r>
        <w:rPr>
          <w:rFonts w:hint="eastAsia" w:ascii="仿宋" w:hAnsi="仿宋" w:eastAsia="仿宋" w:cs="仿宋"/>
          <w:bCs/>
          <w:kern w:val="0"/>
          <w:sz w:val="24"/>
          <w:highlight w:val="none"/>
        </w:rPr>
        <w:br w:type="page"/>
      </w:r>
    </w:p>
    <w:p>
      <w:pPr>
        <w:rPr>
          <w:rFonts w:hint="eastAsia" w:ascii="仿宋" w:hAnsi="仿宋" w:eastAsia="仿宋" w:cs="仿宋"/>
          <w:highlight w:val="none"/>
        </w:rPr>
        <w:sectPr>
          <w:footerReference r:id="rId7" w:type="default"/>
          <w:pgSz w:w="11906" w:h="16838"/>
          <w:pgMar w:top="1701" w:right="1418" w:bottom="1418" w:left="1418" w:header="851" w:footer="992" w:gutter="0"/>
          <w:pgNumType w:start="1"/>
          <w:cols w:space="720" w:num="1"/>
          <w:docGrid w:type="lines" w:linePitch="312" w:charSpace="0"/>
        </w:sectPr>
      </w:pPr>
    </w:p>
    <w:p>
      <w:pPr>
        <w:pStyle w:val="4"/>
        <w:rPr>
          <w:rFonts w:hint="eastAsia" w:cs="仿宋"/>
          <w:highlight w:val="none"/>
        </w:rPr>
      </w:pPr>
      <w:bookmarkStart w:id="156" w:name="_Toc58490805"/>
      <w:bookmarkStart w:id="157" w:name="_Toc17100"/>
      <w:bookmarkStart w:id="158" w:name="_Toc443895460"/>
      <w:r>
        <w:rPr>
          <w:rFonts w:hint="eastAsia" w:cs="仿宋"/>
          <w:highlight w:val="none"/>
        </w:rPr>
        <w:t>第三章  评审办法</w:t>
      </w:r>
      <w:bookmarkEnd w:id="156"/>
    </w:p>
    <w:p>
      <w:pPr>
        <w:tabs>
          <w:tab w:val="left" w:pos="6237"/>
        </w:tabs>
        <w:spacing w:line="360" w:lineRule="auto"/>
        <w:ind w:firstLine="480" w:firstLineChars="200"/>
        <w:rPr>
          <w:rFonts w:hint="eastAsia" w:ascii="仿宋" w:hAnsi="仿宋" w:eastAsia="仿宋" w:cs="仿宋"/>
          <w:bCs/>
          <w:sz w:val="36"/>
          <w:szCs w:val="36"/>
          <w:highlight w:val="none"/>
        </w:rPr>
      </w:pPr>
      <w:r>
        <w:rPr>
          <w:rFonts w:hint="eastAsia" w:ascii="仿宋" w:hAnsi="仿宋" w:eastAsia="仿宋" w:cs="仿宋"/>
          <w:bCs/>
          <w:kern w:val="0"/>
          <w:sz w:val="24"/>
          <w:highlight w:val="none"/>
        </w:rPr>
        <w:t>本次评选采用综合评分法，总分为100分。其中商务资信10分，价格30分，技术50分，服务10分。排名第一的竞谈响应人为中选候选人，排名第二的竞谈响应人为候补中选候选人。评分过程中采用四舍五入法，并保留小数2位。</w:t>
      </w:r>
    </w:p>
    <w:p>
      <w:pPr>
        <w:tabs>
          <w:tab w:val="left" w:pos="6237"/>
        </w:tabs>
        <w:jc w:val="center"/>
        <w:rPr>
          <w:rFonts w:hint="eastAsia" w:ascii="仿宋" w:hAnsi="仿宋" w:eastAsia="仿宋" w:cs="仿宋"/>
          <w:bCs/>
          <w:kern w:val="0"/>
          <w:sz w:val="32"/>
          <w:szCs w:val="28"/>
          <w:highlight w:val="none"/>
        </w:rPr>
      </w:pPr>
      <w:r>
        <w:rPr>
          <w:rFonts w:hint="eastAsia" w:ascii="仿宋" w:hAnsi="仿宋" w:eastAsia="仿宋" w:cs="仿宋"/>
          <w:bCs/>
          <w:kern w:val="0"/>
          <w:sz w:val="32"/>
          <w:szCs w:val="28"/>
          <w:highlight w:val="none"/>
        </w:rPr>
        <w:t>评分表</w:t>
      </w:r>
    </w:p>
    <w:p>
      <w:pPr>
        <w:tabs>
          <w:tab w:val="left" w:pos="6237"/>
        </w:tabs>
        <w:rPr>
          <w:rFonts w:hint="eastAsia" w:ascii="仿宋" w:hAnsi="仿宋" w:eastAsia="仿宋" w:cs="仿宋"/>
          <w:bCs/>
          <w:kern w:val="0"/>
          <w:sz w:val="24"/>
          <w:highlight w:val="none"/>
        </w:rPr>
      </w:pPr>
      <w:r>
        <w:rPr>
          <w:rFonts w:hint="eastAsia" w:ascii="仿宋" w:hAnsi="仿宋" w:eastAsia="仿宋" w:cs="仿宋"/>
          <w:bCs/>
          <w:kern w:val="0"/>
          <w:sz w:val="24"/>
          <w:highlight w:val="none"/>
        </w:rPr>
        <w:t xml:space="preserve">                                                                                                         </w:t>
      </w:r>
    </w:p>
    <w:bookmarkEnd w:id="155"/>
    <w:bookmarkEnd w:id="157"/>
    <w:bookmarkEnd w:id="158"/>
    <w:tbl>
      <w:tblPr>
        <w:tblStyle w:val="21"/>
        <w:tblW w:w="9082" w:type="dxa"/>
        <w:tblInd w:w="93" w:type="dxa"/>
        <w:tblLayout w:type="autofit"/>
        <w:tblCellMar>
          <w:top w:w="0" w:type="dxa"/>
          <w:left w:w="108" w:type="dxa"/>
          <w:bottom w:w="0" w:type="dxa"/>
          <w:right w:w="108" w:type="dxa"/>
        </w:tblCellMar>
      </w:tblPr>
      <w:tblGrid>
        <w:gridCol w:w="727"/>
        <w:gridCol w:w="1347"/>
        <w:gridCol w:w="749"/>
        <w:gridCol w:w="6259"/>
      </w:tblGrid>
      <w:tr>
        <w:tblPrEx>
          <w:tblCellMar>
            <w:top w:w="0" w:type="dxa"/>
            <w:left w:w="108" w:type="dxa"/>
            <w:bottom w:w="0" w:type="dxa"/>
            <w:right w:w="108" w:type="dxa"/>
          </w:tblCellMar>
        </w:tblPrEx>
        <w:trPr>
          <w:trHeight w:val="347" w:hRule="atLeast"/>
        </w:trPr>
        <w:tc>
          <w:tcPr>
            <w:tcW w:w="727"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bookmarkStart w:id="159" w:name="_Toc58490806"/>
            <w:r>
              <w:rPr>
                <w:rFonts w:hint="eastAsia" w:ascii="仿宋" w:hAnsi="仿宋" w:eastAsia="仿宋" w:cs="仿宋"/>
                <w:color w:val="000000"/>
                <w:highlight w:val="none"/>
              </w:rPr>
              <w:t>序号</w:t>
            </w:r>
          </w:p>
        </w:tc>
        <w:tc>
          <w:tcPr>
            <w:tcW w:w="1347"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评分内容</w:t>
            </w:r>
          </w:p>
        </w:tc>
        <w:tc>
          <w:tcPr>
            <w:tcW w:w="749"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分值</w:t>
            </w:r>
          </w:p>
        </w:tc>
        <w:tc>
          <w:tcPr>
            <w:tcW w:w="6259"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细则内容</w:t>
            </w:r>
          </w:p>
        </w:tc>
      </w:tr>
      <w:tr>
        <w:tblPrEx>
          <w:tblCellMar>
            <w:top w:w="0" w:type="dxa"/>
            <w:left w:w="108" w:type="dxa"/>
            <w:bottom w:w="0" w:type="dxa"/>
            <w:right w:w="108" w:type="dxa"/>
          </w:tblCellMar>
        </w:tblPrEx>
        <w:trPr>
          <w:trHeight w:val="347" w:hRule="atLeast"/>
        </w:trPr>
        <w:tc>
          <w:tcPr>
            <w:tcW w:w="9082" w:type="dxa"/>
            <w:gridSpan w:val="4"/>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一、报价部分评分（30分）</w:t>
            </w:r>
          </w:p>
        </w:tc>
      </w:tr>
      <w:tr>
        <w:tblPrEx>
          <w:tblCellMar>
            <w:top w:w="0" w:type="dxa"/>
            <w:left w:w="108" w:type="dxa"/>
            <w:bottom w:w="0" w:type="dxa"/>
            <w:right w:w="108" w:type="dxa"/>
          </w:tblCellMar>
        </w:tblPrEx>
        <w:trPr>
          <w:trHeight w:val="1544" w:hRule="atLeast"/>
        </w:trPr>
        <w:tc>
          <w:tcPr>
            <w:tcW w:w="727" w:type="dxa"/>
            <w:vMerge w:val="restart"/>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1</w:t>
            </w:r>
          </w:p>
        </w:tc>
        <w:tc>
          <w:tcPr>
            <w:tcW w:w="1347" w:type="dxa"/>
            <w:vMerge w:val="restart"/>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参选报价</w:t>
            </w:r>
          </w:p>
        </w:tc>
        <w:tc>
          <w:tcPr>
            <w:tcW w:w="749" w:type="dxa"/>
            <w:vMerge w:val="restart"/>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30</w:t>
            </w:r>
          </w:p>
        </w:tc>
        <w:tc>
          <w:tcPr>
            <w:tcW w:w="6259" w:type="dxa"/>
            <w:tcBorders>
              <w:top w:val="nil"/>
              <w:left w:val="nil"/>
              <w:bottom w:val="nil"/>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报价评审应以报价口径范围一致的评标价为依据。评标价应在最终报价的基础上，按照竞谈文件约定的因素和方法进行计算。凡属竞谈文件的原因造成报价口径范围不一致的，应调整竞谈响应人报价，但因竞谈响应人自身失误造成多算、少算、漏算的，不得调整。</w:t>
            </w:r>
          </w:p>
        </w:tc>
      </w:tr>
      <w:tr>
        <w:tblPrEx>
          <w:tblCellMar>
            <w:top w:w="0" w:type="dxa"/>
            <w:left w:w="108" w:type="dxa"/>
            <w:bottom w:w="0" w:type="dxa"/>
            <w:right w:w="108" w:type="dxa"/>
          </w:tblCellMar>
        </w:tblPrEx>
        <w:trPr>
          <w:trHeight w:val="1239" w:hRule="atLeast"/>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p>
        </w:tc>
        <w:tc>
          <w:tcPr>
            <w:tcW w:w="1347"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p>
        </w:tc>
        <w:tc>
          <w:tcPr>
            <w:tcW w:w="749"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p>
        </w:tc>
        <w:tc>
          <w:tcPr>
            <w:tcW w:w="6259" w:type="dxa"/>
            <w:tcBorders>
              <w:top w:val="nil"/>
              <w:left w:val="nil"/>
              <w:bottom w:val="nil"/>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一、评标基准价确定：</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以满足招标文件要求的最低评标价为评标基准价。</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二、得分：</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1、评标价等于评标基准价的，得满分。</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2、高于评标基准价的，每高于评标基准价1%扣 1 分；</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3、本项最低得分10分；计算公式：（评标基准价/投标报价）*100</w:t>
            </w:r>
          </w:p>
        </w:tc>
      </w:tr>
      <w:tr>
        <w:tblPrEx>
          <w:tblCellMar>
            <w:top w:w="0" w:type="dxa"/>
            <w:left w:w="108" w:type="dxa"/>
            <w:bottom w:w="0" w:type="dxa"/>
            <w:right w:w="108" w:type="dxa"/>
          </w:tblCellMar>
        </w:tblPrEx>
        <w:trPr>
          <w:trHeight w:val="1463" w:hRule="atLeast"/>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p>
        </w:tc>
        <w:tc>
          <w:tcPr>
            <w:tcW w:w="1347"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p>
        </w:tc>
        <w:tc>
          <w:tcPr>
            <w:tcW w:w="749"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p>
        </w:tc>
        <w:tc>
          <w:tcPr>
            <w:tcW w:w="6259" w:type="dxa"/>
            <w:tcBorders>
              <w:top w:val="nil"/>
              <w:left w:val="nil"/>
              <w:bottom w:val="nil"/>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响应人报价若低于其他有效响应人报价算术平均价的60%，可能影响系统质量或者不能诚信履约的，谈判小组将要求其在谈判现场合理的时间内提供书面说明，并提交相关证明材料。</w:t>
            </w:r>
          </w:p>
        </w:tc>
      </w:tr>
      <w:tr>
        <w:tblPrEx>
          <w:tblCellMar>
            <w:top w:w="0" w:type="dxa"/>
            <w:left w:w="108" w:type="dxa"/>
            <w:bottom w:w="0" w:type="dxa"/>
            <w:right w:w="108" w:type="dxa"/>
          </w:tblCellMar>
        </w:tblPrEx>
        <w:trPr>
          <w:trHeight w:val="347" w:hRule="atLeast"/>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p>
        </w:tc>
        <w:tc>
          <w:tcPr>
            <w:tcW w:w="1347"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p>
        </w:tc>
        <w:tc>
          <w:tcPr>
            <w:tcW w:w="749"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p>
        </w:tc>
        <w:tc>
          <w:tcPr>
            <w:tcW w:w="625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响应人拒绝或者变相拒绝提供有效书面说明或者书面说明不能证明其报价合理性的或未在规定时间内递交有效书面说明书的，谈判小组将对该响应文件按无效处理。</w:t>
            </w:r>
          </w:p>
        </w:tc>
      </w:tr>
      <w:tr>
        <w:tblPrEx>
          <w:tblCellMar>
            <w:top w:w="0" w:type="dxa"/>
            <w:left w:w="108" w:type="dxa"/>
            <w:bottom w:w="0" w:type="dxa"/>
            <w:right w:w="108" w:type="dxa"/>
          </w:tblCellMar>
        </w:tblPrEx>
        <w:trPr>
          <w:trHeight w:val="347" w:hRule="atLeast"/>
        </w:trPr>
        <w:tc>
          <w:tcPr>
            <w:tcW w:w="9082" w:type="dxa"/>
            <w:gridSpan w:val="4"/>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二、商务资信评分（10分）</w:t>
            </w:r>
          </w:p>
        </w:tc>
      </w:tr>
      <w:tr>
        <w:tblPrEx>
          <w:tblCellMar>
            <w:top w:w="0" w:type="dxa"/>
            <w:left w:w="108" w:type="dxa"/>
            <w:bottom w:w="0" w:type="dxa"/>
            <w:right w:w="108" w:type="dxa"/>
          </w:tblCellMar>
        </w:tblPrEx>
        <w:trPr>
          <w:trHeight w:val="934"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1</w:t>
            </w:r>
          </w:p>
        </w:tc>
        <w:tc>
          <w:tcPr>
            <w:tcW w:w="1347"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竞谈响应文件完整性、响应性</w:t>
            </w:r>
          </w:p>
        </w:tc>
        <w:tc>
          <w:tcPr>
            <w:tcW w:w="74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2</w:t>
            </w:r>
          </w:p>
        </w:tc>
        <w:tc>
          <w:tcPr>
            <w:tcW w:w="625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对竞谈响应文件的完整性和响应性进行评价，如出现一处错误扣1分，扣完为止。</w:t>
            </w:r>
          </w:p>
        </w:tc>
      </w:tr>
      <w:tr>
        <w:tblPrEx>
          <w:tblCellMar>
            <w:top w:w="0" w:type="dxa"/>
            <w:left w:w="108" w:type="dxa"/>
            <w:bottom w:w="0" w:type="dxa"/>
            <w:right w:w="108" w:type="dxa"/>
          </w:tblCellMar>
        </w:tblPrEx>
        <w:trPr>
          <w:trHeight w:val="1089"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2</w:t>
            </w:r>
          </w:p>
        </w:tc>
        <w:tc>
          <w:tcPr>
            <w:tcW w:w="1347"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业绩情况</w:t>
            </w:r>
          </w:p>
        </w:tc>
        <w:tc>
          <w:tcPr>
            <w:tcW w:w="74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6</w:t>
            </w:r>
          </w:p>
        </w:tc>
        <w:tc>
          <w:tcPr>
            <w:tcW w:w="625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根据竞谈响应人在</w:t>
            </w:r>
            <w:r>
              <w:rPr>
                <w:rFonts w:hint="eastAsia" w:ascii="仿宋" w:hAnsi="仿宋" w:eastAsia="仿宋" w:cs="仿宋"/>
                <w:szCs w:val="21"/>
                <w:highlight w:val="none"/>
              </w:rPr>
              <w:t>2022年以来签订的同类型业绩</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每额</w:t>
            </w:r>
            <w:r>
              <w:rPr>
                <w:rFonts w:hint="eastAsia" w:ascii="仿宋" w:hAnsi="仿宋" w:eastAsia="仿宋" w:cs="仿宋"/>
                <w:color w:val="000000"/>
                <w:highlight w:val="none"/>
              </w:rPr>
              <w:t>外再提供一个合同金额50万元（不含）以上、100万元以下的案例得1分，每提供一个合同金额100万元（不含）以上的案例得2分，满分6分。</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（1）单项合同以合同签订时间为准，框架合同以订单或结算时间为准，提供的证明未体现签订时间的，不纳入评审。</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（2）如单项合同中未能体现合同金额，则需提供对应的发票。）</w:t>
            </w:r>
          </w:p>
        </w:tc>
      </w:tr>
      <w:tr>
        <w:tblPrEx>
          <w:tblCellMar>
            <w:top w:w="0" w:type="dxa"/>
            <w:left w:w="108" w:type="dxa"/>
            <w:bottom w:w="0" w:type="dxa"/>
            <w:right w:w="108" w:type="dxa"/>
          </w:tblCellMar>
        </w:tblPrEx>
        <w:trPr>
          <w:trHeight w:val="656"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3</w:t>
            </w:r>
          </w:p>
        </w:tc>
        <w:tc>
          <w:tcPr>
            <w:tcW w:w="1347"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商务条款偏离情况</w:t>
            </w:r>
          </w:p>
        </w:tc>
        <w:tc>
          <w:tcPr>
            <w:tcW w:w="74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2</w:t>
            </w:r>
          </w:p>
        </w:tc>
        <w:tc>
          <w:tcPr>
            <w:tcW w:w="625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根据竞谈响应人对合同条款的偏离情况进行打。合同条款全部应答无偏离的得2分，每有一项负偏离扣1分，扣完为止。</w:t>
            </w:r>
          </w:p>
        </w:tc>
      </w:tr>
      <w:tr>
        <w:tblPrEx>
          <w:tblCellMar>
            <w:top w:w="0" w:type="dxa"/>
            <w:left w:w="108" w:type="dxa"/>
            <w:bottom w:w="0" w:type="dxa"/>
            <w:right w:w="108" w:type="dxa"/>
          </w:tblCellMar>
        </w:tblPrEx>
        <w:trPr>
          <w:trHeight w:val="347" w:hRule="atLeast"/>
        </w:trPr>
        <w:tc>
          <w:tcPr>
            <w:tcW w:w="2823" w:type="dxa"/>
            <w:gridSpan w:val="3"/>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小计（分）</w:t>
            </w:r>
          </w:p>
        </w:tc>
        <w:tc>
          <w:tcPr>
            <w:tcW w:w="6259"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p>
        </w:tc>
      </w:tr>
      <w:tr>
        <w:tblPrEx>
          <w:tblCellMar>
            <w:top w:w="0" w:type="dxa"/>
            <w:left w:w="108" w:type="dxa"/>
            <w:bottom w:w="0" w:type="dxa"/>
            <w:right w:w="108" w:type="dxa"/>
          </w:tblCellMar>
        </w:tblPrEx>
        <w:trPr>
          <w:trHeight w:val="347" w:hRule="atLeast"/>
        </w:trPr>
        <w:tc>
          <w:tcPr>
            <w:tcW w:w="9082" w:type="dxa"/>
            <w:gridSpan w:val="4"/>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三、技术部分评分（50分）</w:t>
            </w:r>
          </w:p>
        </w:tc>
      </w:tr>
      <w:tr>
        <w:tblPrEx>
          <w:tblCellMar>
            <w:top w:w="0" w:type="dxa"/>
            <w:left w:w="108" w:type="dxa"/>
            <w:bottom w:w="0" w:type="dxa"/>
            <w:right w:w="108" w:type="dxa"/>
          </w:tblCellMar>
        </w:tblPrEx>
        <w:trPr>
          <w:trHeight w:val="90"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1</w:t>
            </w:r>
          </w:p>
        </w:tc>
        <w:tc>
          <w:tcPr>
            <w:tcW w:w="1347"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系统建设方案</w:t>
            </w:r>
          </w:p>
        </w:tc>
        <w:tc>
          <w:tcPr>
            <w:tcW w:w="74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20</w:t>
            </w:r>
          </w:p>
        </w:tc>
        <w:tc>
          <w:tcPr>
            <w:tcW w:w="625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方案设计的合理性、技术的先进性、稳定性、安全性、实际应用规模、对用户需求的理解程度等方面进行横向对比酌情打分：</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a. 对需求的理解程度深刻、预见的难点符合本项目情况且处理办法有针对性、分析全面的得</w:t>
            </w:r>
            <w:bookmarkStart w:id="160" w:name="OLE_LINK6"/>
            <w:r>
              <w:rPr>
                <w:rFonts w:hint="eastAsia" w:ascii="仿宋" w:hAnsi="仿宋" w:eastAsia="仿宋" w:cs="仿宋"/>
                <w:color w:val="000000"/>
                <w:highlight w:val="none"/>
              </w:rPr>
              <w:t>[</w:t>
            </w:r>
            <w:bookmarkEnd w:id="160"/>
            <w:r>
              <w:rPr>
                <w:rFonts w:hint="eastAsia" w:ascii="仿宋" w:hAnsi="仿宋" w:eastAsia="仿宋" w:cs="仿宋"/>
                <w:color w:val="000000"/>
                <w:highlight w:val="none"/>
              </w:rPr>
              <w:t>14-20]分；</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b. 对需求的理解程度较深刻、预见的难点基本符合本项目情况且处理办法较有针对性、分析较全面的得[8-13]分；</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c．对需求的理解程度一般、预见的难点不符合本项目实际情况且处理办法没有针对性的得[0-7]分。</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注：不同投标人可被列为同一档次评分。</w:t>
            </w:r>
          </w:p>
        </w:tc>
      </w:tr>
      <w:tr>
        <w:tblPrEx>
          <w:tblCellMar>
            <w:top w:w="0" w:type="dxa"/>
            <w:left w:w="108" w:type="dxa"/>
            <w:bottom w:w="0" w:type="dxa"/>
            <w:right w:w="108" w:type="dxa"/>
          </w:tblCellMar>
        </w:tblPrEx>
        <w:trPr>
          <w:trHeight w:val="1303"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2</w:t>
            </w:r>
          </w:p>
        </w:tc>
        <w:tc>
          <w:tcPr>
            <w:tcW w:w="1347"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技术规范书</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应答情况</w:t>
            </w:r>
          </w:p>
        </w:tc>
        <w:tc>
          <w:tcPr>
            <w:tcW w:w="74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2</w:t>
            </w:r>
          </w:p>
        </w:tc>
        <w:tc>
          <w:tcPr>
            <w:tcW w:w="625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根据技术规范书应答满足情况，全部应答无负偏离得2分。每负偏离一项扣1分，扣完为止。</w:t>
            </w:r>
          </w:p>
        </w:tc>
      </w:tr>
      <w:tr>
        <w:tblPrEx>
          <w:tblCellMar>
            <w:top w:w="0" w:type="dxa"/>
            <w:left w:w="108" w:type="dxa"/>
            <w:bottom w:w="0" w:type="dxa"/>
            <w:right w:w="108" w:type="dxa"/>
          </w:tblCellMar>
        </w:tblPrEx>
        <w:trPr>
          <w:trHeight w:val="934"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3</w:t>
            </w:r>
          </w:p>
        </w:tc>
        <w:tc>
          <w:tcPr>
            <w:tcW w:w="1347"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组织实施方案</w:t>
            </w:r>
          </w:p>
        </w:tc>
        <w:tc>
          <w:tcPr>
            <w:tcW w:w="74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15</w:t>
            </w:r>
          </w:p>
        </w:tc>
        <w:tc>
          <w:tcPr>
            <w:tcW w:w="625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竞谈响应人须提供组织实施方案，包括系统集成、试运行、测试、调优等内容，以及工作时间进度表、工作程序和步骤、管理和协调方法、关键步骤的思路和要点等，根据竞谈响应人组织实施方案的科学性、合理性、可操作性情况进行打分：</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a. 组织实施方案全面、内容科学合理、可操作性强的得[11,15]分；</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b. 组织实施方案全面、内容较合理、基本可操作的得[7,10]分；</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 xml:space="preserve">c．组织实施方案内容不完整、逻辑性差、可操作性一般的得[0,6]分。 </w:t>
            </w:r>
          </w:p>
        </w:tc>
      </w:tr>
      <w:tr>
        <w:tblPrEx>
          <w:tblCellMar>
            <w:top w:w="0" w:type="dxa"/>
            <w:left w:w="108" w:type="dxa"/>
            <w:bottom w:w="0" w:type="dxa"/>
            <w:right w:w="108" w:type="dxa"/>
          </w:tblCellMar>
        </w:tblPrEx>
        <w:trPr>
          <w:trHeight w:val="826"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4</w:t>
            </w:r>
          </w:p>
        </w:tc>
        <w:tc>
          <w:tcPr>
            <w:tcW w:w="1347"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工期安排及质量保证</w:t>
            </w:r>
          </w:p>
        </w:tc>
        <w:tc>
          <w:tcPr>
            <w:tcW w:w="74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10</w:t>
            </w:r>
          </w:p>
        </w:tc>
        <w:tc>
          <w:tcPr>
            <w:tcW w:w="625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 xml:space="preserve">根据竞谈响应人针对项目实际情况安排合理进度工期及做出质量保证进行打分。时限合理、保障措施齐全、到位的得[7,10]分，时限合理、保障措施一般的得[4,7]分，时限不合理或保障措施较差的得[0,4]分，未提供相关内容得0分。 </w:t>
            </w:r>
          </w:p>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注：不同竞谈响应人可被列入同一档次评分。</w:t>
            </w:r>
          </w:p>
        </w:tc>
      </w:tr>
      <w:tr>
        <w:tblPrEx>
          <w:tblCellMar>
            <w:top w:w="0" w:type="dxa"/>
            <w:left w:w="108" w:type="dxa"/>
            <w:bottom w:w="0" w:type="dxa"/>
            <w:right w:w="108" w:type="dxa"/>
          </w:tblCellMar>
        </w:tblPrEx>
        <w:trPr>
          <w:trHeight w:val="1338"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5</w:t>
            </w:r>
          </w:p>
        </w:tc>
        <w:tc>
          <w:tcPr>
            <w:tcW w:w="1347"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项目建设合理性意见</w:t>
            </w:r>
          </w:p>
        </w:tc>
        <w:tc>
          <w:tcPr>
            <w:tcW w:w="74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3</w:t>
            </w:r>
          </w:p>
        </w:tc>
        <w:tc>
          <w:tcPr>
            <w:tcW w:w="625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竞谈响应人根据对项目的理解给出合理性意见；1条合理性意见得1分，满分3分。</w:t>
            </w:r>
          </w:p>
        </w:tc>
      </w:tr>
      <w:tr>
        <w:tblPrEx>
          <w:tblCellMar>
            <w:top w:w="0" w:type="dxa"/>
            <w:left w:w="108" w:type="dxa"/>
            <w:bottom w:w="0" w:type="dxa"/>
            <w:right w:w="108" w:type="dxa"/>
          </w:tblCellMar>
        </w:tblPrEx>
        <w:trPr>
          <w:trHeight w:val="347" w:hRule="atLeast"/>
        </w:trPr>
        <w:tc>
          <w:tcPr>
            <w:tcW w:w="9082" w:type="dxa"/>
            <w:gridSpan w:val="4"/>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四、服务部分评分（10分）</w:t>
            </w:r>
          </w:p>
        </w:tc>
      </w:tr>
      <w:tr>
        <w:tblPrEx>
          <w:tblCellMar>
            <w:top w:w="0" w:type="dxa"/>
            <w:left w:w="108" w:type="dxa"/>
            <w:bottom w:w="0" w:type="dxa"/>
            <w:right w:w="108" w:type="dxa"/>
          </w:tblCellMar>
        </w:tblPrEx>
        <w:trPr>
          <w:trHeight w:val="1239"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1</w:t>
            </w:r>
          </w:p>
        </w:tc>
        <w:tc>
          <w:tcPr>
            <w:tcW w:w="1347"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培训方案</w:t>
            </w:r>
          </w:p>
        </w:tc>
        <w:tc>
          <w:tcPr>
            <w:tcW w:w="74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5</w:t>
            </w:r>
          </w:p>
        </w:tc>
        <w:tc>
          <w:tcPr>
            <w:tcW w:w="625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根据竞谈响应人提供的培训方案（包括培训人天、培训地点、培训所需设备、培训内容等）的完整性及合理性进行打分。培训方案优秀的得[4-5]分；方案一般的得[2-4]分；方案较差的得[0-2]分。</w:t>
            </w:r>
          </w:p>
        </w:tc>
      </w:tr>
      <w:tr>
        <w:tblPrEx>
          <w:tblCellMar>
            <w:top w:w="0" w:type="dxa"/>
            <w:left w:w="108" w:type="dxa"/>
            <w:bottom w:w="0" w:type="dxa"/>
            <w:right w:w="108" w:type="dxa"/>
          </w:tblCellMar>
        </w:tblPrEx>
        <w:trPr>
          <w:trHeight w:val="954" w:hRule="atLeast"/>
        </w:trPr>
        <w:tc>
          <w:tcPr>
            <w:tcW w:w="727" w:type="dxa"/>
            <w:tcBorders>
              <w:top w:val="nil"/>
              <w:left w:val="single" w:color="000000" w:sz="8" w:space="0"/>
              <w:bottom w:val="single" w:color="auto" w:sz="4"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2</w:t>
            </w:r>
          </w:p>
        </w:tc>
        <w:tc>
          <w:tcPr>
            <w:tcW w:w="1347" w:type="dxa"/>
            <w:tcBorders>
              <w:top w:val="nil"/>
              <w:left w:val="nil"/>
              <w:bottom w:val="single" w:color="auto" w:sz="4"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售后服务方案</w:t>
            </w:r>
          </w:p>
        </w:tc>
        <w:tc>
          <w:tcPr>
            <w:tcW w:w="749" w:type="dxa"/>
            <w:tcBorders>
              <w:top w:val="nil"/>
              <w:left w:val="nil"/>
              <w:bottom w:val="single" w:color="auto" w:sz="4"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5</w:t>
            </w:r>
          </w:p>
        </w:tc>
        <w:tc>
          <w:tcPr>
            <w:tcW w:w="6259" w:type="dxa"/>
            <w:tcBorders>
              <w:top w:val="nil"/>
              <w:left w:val="nil"/>
              <w:bottom w:val="single" w:color="auto" w:sz="4" w:space="0"/>
              <w:right w:val="single" w:color="000000" w:sz="8" w:space="0"/>
            </w:tcBorders>
            <w:vAlign w:val="center"/>
          </w:tcPr>
          <w:p>
            <w:pPr>
              <w:spacing w:line="44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根据竞谈响应人提供的售后服务内容、故障响应时限、故障解决方案等进行评审。方案优秀的得[4-5]分；一般的得[2-4]分；较差[0-2]分。</w:t>
            </w:r>
          </w:p>
        </w:tc>
      </w:tr>
    </w:tbl>
    <w:p>
      <w:pPr>
        <w:rPr>
          <w:rFonts w:hint="eastAsia" w:ascii="仿宋" w:hAnsi="仿宋" w:eastAsia="仿宋" w:cs="仿宋"/>
          <w:highlight w:val="none"/>
        </w:rPr>
      </w:pPr>
    </w:p>
    <w:p>
      <w:pPr>
        <w:pStyle w:val="31"/>
        <w:spacing w:before="156" w:after="156"/>
        <w:ind w:firstLine="528"/>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3"/>
        <w:rPr>
          <w:rFonts w:hint="eastAsia" w:ascii="仿宋" w:hAnsi="仿宋" w:eastAsia="仿宋" w:cs="仿宋"/>
          <w:highlight w:val="none"/>
        </w:rPr>
      </w:pPr>
    </w:p>
    <w:p>
      <w:pPr>
        <w:rPr>
          <w:rFonts w:hint="eastAsia" w:ascii="仿宋" w:hAnsi="仿宋" w:eastAsia="仿宋" w:cs="仿宋"/>
          <w:highlight w:val="none"/>
        </w:rPr>
      </w:pPr>
    </w:p>
    <w:p>
      <w:pPr>
        <w:pStyle w:val="3"/>
        <w:rPr>
          <w:rFonts w:hint="eastAsia" w:ascii="仿宋" w:hAnsi="仿宋" w:eastAsia="仿宋" w:cs="仿宋"/>
          <w:highlight w:val="none"/>
        </w:rPr>
      </w:pPr>
    </w:p>
    <w:p>
      <w:pPr>
        <w:rPr>
          <w:rFonts w:hint="eastAsia" w:ascii="仿宋" w:hAnsi="仿宋" w:eastAsia="仿宋" w:cs="仿宋"/>
          <w:highlight w:val="none"/>
        </w:rPr>
      </w:pPr>
    </w:p>
    <w:p>
      <w:pPr>
        <w:pStyle w:val="3"/>
        <w:rPr>
          <w:rFonts w:hint="eastAsia" w:ascii="仿宋" w:hAnsi="仿宋" w:eastAsia="仿宋" w:cs="仿宋"/>
          <w:highlight w:val="none"/>
        </w:rPr>
      </w:pPr>
      <w:r>
        <w:rPr>
          <w:rFonts w:hint="eastAsia" w:ascii="仿宋" w:hAnsi="仿宋" w:eastAsia="仿宋" w:cs="仿宋"/>
          <w:highlight w:val="none"/>
        </w:rPr>
        <w:t xml:space="preserve"> </w:t>
      </w:r>
    </w:p>
    <w:p>
      <w:pPr>
        <w:rPr>
          <w:rFonts w:hint="eastAsia" w:ascii="仿宋" w:hAnsi="仿宋" w:eastAsia="仿宋" w:cs="仿宋"/>
          <w:highlight w:val="none"/>
        </w:rPr>
      </w:pPr>
    </w:p>
    <w:p>
      <w:pPr>
        <w:pStyle w:val="20"/>
        <w:ind w:right="164"/>
        <w:rPr>
          <w:highlight w:val="none"/>
        </w:rPr>
      </w:pPr>
    </w:p>
    <w:p>
      <w:pPr>
        <w:rPr>
          <w:rFonts w:hint="eastAsia" w:ascii="仿宋" w:hAnsi="仿宋" w:eastAsia="仿宋" w:cs="仿宋"/>
          <w:highlight w:val="none"/>
        </w:rPr>
      </w:pPr>
    </w:p>
    <w:p>
      <w:pPr>
        <w:pStyle w:val="3"/>
        <w:rPr>
          <w:rFonts w:hint="eastAsia" w:ascii="仿宋" w:hAnsi="仿宋" w:eastAsia="仿宋" w:cs="仿宋"/>
          <w:highlight w:val="none"/>
        </w:rPr>
      </w:pPr>
    </w:p>
    <w:p>
      <w:pPr>
        <w:spacing w:line="1000" w:lineRule="atLeast"/>
        <w:rPr>
          <w:rFonts w:hint="eastAsia" w:ascii="仿宋" w:hAnsi="仿宋" w:eastAsia="仿宋" w:cs="仿宋"/>
          <w:b/>
          <w:spacing w:val="32"/>
          <w:w w:val="90"/>
          <w:sz w:val="52"/>
          <w:szCs w:val="52"/>
          <w:highlight w:val="none"/>
        </w:rPr>
      </w:pPr>
      <w:r>
        <w:rPr>
          <w:rFonts w:hint="eastAsia" w:ascii="仿宋" w:hAnsi="仿宋" w:eastAsia="仿宋" w:cs="仿宋"/>
          <w:b/>
          <w:spacing w:val="32"/>
          <w:w w:val="90"/>
          <w:sz w:val="52"/>
          <w:szCs w:val="52"/>
          <w:highlight w:val="none"/>
        </w:rPr>
        <w:t>合同模板</w:t>
      </w:r>
    </w:p>
    <w:p>
      <w:pPr>
        <w:spacing w:line="1000" w:lineRule="atLeast"/>
        <w:rPr>
          <w:rFonts w:hint="eastAsia" w:ascii="仿宋" w:hAnsi="仿宋" w:eastAsia="仿宋" w:cs="仿宋"/>
          <w:b/>
          <w:spacing w:val="32"/>
          <w:w w:val="90"/>
          <w:sz w:val="72"/>
          <w:szCs w:val="72"/>
          <w:highlight w:val="none"/>
        </w:rPr>
      </w:pPr>
    </w:p>
    <w:p>
      <w:pPr>
        <w:spacing w:line="1000" w:lineRule="atLeast"/>
        <w:jc w:val="center"/>
        <w:rPr>
          <w:rFonts w:hint="eastAsia" w:ascii="仿宋" w:hAnsi="仿宋" w:eastAsia="仿宋" w:cs="仿宋"/>
          <w:b/>
          <w:spacing w:val="32"/>
          <w:w w:val="90"/>
          <w:sz w:val="52"/>
          <w:szCs w:val="52"/>
          <w:highlight w:val="none"/>
        </w:rPr>
      </w:pPr>
      <w:r>
        <w:rPr>
          <w:rFonts w:hint="eastAsia" w:ascii="仿宋" w:hAnsi="仿宋" w:eastAsia="仿宋" w:cs="仿宋"/>
          <w:b/>
          <w:spacing w:val="32"/>
          <w:w w:val="90"/>
          <w:sz w:val="52"/>
          <w:szCs w:val="52"/>
          <w:highlight w:val="none"/>
        </w:rPr>
        <w:t>XXX技术服务合同</w:t>
      </w:r>
    </w:p>
    <w:p>
      <w:pPr>
        <w:spacing w:line="1000" w:lineRule="atLeast"/>
        <w:jc w:val="center"/>
        <w:rPr>
          <w:rFonts w:hint="eastAsia" w:ascii="仿宋" w:hAnsi="仿宋" w:eastAsia="仿宋" w:cs="仿宋"/>
          <w:b/>
          <w:sz w:val="72"/>
          <w:szCs w:val="72"/>
          <w:highlight w:val="none"/>
        </w:rPr>
      </w:pPr>
      <w:r>
        <w:rPr>
          <w:rFonts w:hint="eastAsia" w:ascii="仿宋" w:hAnsi="仿宋" w:eastAsia="仿宋" w:cs="仿宋"/>
          <w:b/>
          <w:spacing w:val="32"/>
          <w:w w:val="90"/>
          <w:sz w:val="52"/>
          <w:szCs w:val="52"/>
          <w:highlight w:val="none"/>
        </w:rPr>
        <w:t xml:space="preserve"> </w:t>
      </w:r>
      <w:r>
        <w:rPr>
          <w:rFonts w:hint="eastAsia" w:ascii="仿宋" w:hAnsi="仿宋" w:eastAsia="仿宋" w:cs="仿宋"/>
          <w:b/>
          <w:sz w:val="72"/>
          <w:szCs w:val="72"/>
          <w:highlight w:val="none"/>
        </w:rPr>
        <w:t xml:space="preserve">  </w:t>
      </w:r>
    </w:p>
    <w:p>
      <w:pPr>
        <w:spacing w:line="360" w:lineRule="auto"/>
        <w:ind w:firstLine="1247" w:firstLineChars="345"/>
        <w:jc w:val="left"/>
        <w:rPr>
          <w:rFonts w:hint="eastAsia" w:ascii="仿宋" w:hAnsi="仿宋" w:eastAsia="仿宋" w:cs="仿宋"/>
          <w:b/>
          <w:sz w:val="36"/>
          <w:szCs w:val="36"/>
          <w:highlight w:val="none"/>
        </w:rPr>
      </w:pPr>
    </w:p>
    <w:p>
      <w:pPr>
        <w:spacing w:line="360" w:lineRule="auto"/>
        <w:ind w:firstLine="1247" w:firstLineChars="345"/>
        <w:jc w:val="left"/>
        <w:rPr>
          <w:rFonts w:hint="eastAsia" w:ascii="仿宋" w:hAnsi="仿宋" w:eastAsia="仿宋" w:cs="仿宋"/>
          <w:b/>
          <w:sz w:val="36"/>
          <w:szCs w:val="36"/>
          <w:highlight w:val="none"/>
        </w:rPr>
      </w:pPr>
    </w:p>
    <w:p>
      <w:pPr>
        <w:spacing w:line="360" w:lineRule="auto"/>
        <w:ind w:firstLine="1247" w:firstLineChars="345"/>
        <w:jc w:val="left"/>
        <w:rPr>
          <w:rFonts w:hint="eastAsia" w:ascii="仿宋" w:hAnsi="仿宋" w:eastAsia="仿宋" w:cs="仿宋"/>
          <w:b/>
          <w:sz w:val="36"/>
          <w:szCs w:val="36"/>
          <w:highlight w:val="none"/>
        </w:rPr>
      </w:pPr>
    </w:p>
    <w:p>
      <w:pPr>
        <w:pStyle w:val="20"/>
        <w:ind w:right="164" w:firstLine="723"/>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pStyle w:val="20"/>
        <w:ind w:right="164" w:firstLine="723"/>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pStyle w:val="20"/>
        <w:ind w:right="164" w:firstLine="723"/>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pStyle w:val="20"/>
        <w:ind w:right="164"/>
        <w:rPr>
          <w:rFonts w:hint="eastAsia" w:ascii="仿宋" w:hAnsi="仿宋" w:eastAsia="仿宋" w:cs="仿宋"/>
          <w:highlight w:val="none"/>
        </w:rPr>
      </w:pPr>
    </w:p>
    <w:p>
      <w:pPr>
        <w:spacing w:line="36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签订地址：杭州市西湖区</w:t>
      </w:r>
    </w:p>
    <w:p>
      <w:pPr>
        <w:spacing w:line="36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签订时间：2025年12月 日</w:t>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20"/>
        <w:ind w:right="164"/>
        <w:rPr>
          <w:rFonts w:hint="eastAsia" w:ascii="仿宋" w:hAnsi="仿宋" w:eastAsia="仿宋" w:cs="仿宋"/>
          <w:highlight w:val="none"/>
        </w:rPr>
      </w:pPr>
    </w:p>
    <w:p>
      <w:pPr>
        <w:rPr>
          <w:rFonts w:hint="eastAsia" w:ascii="仿宋" w:hAnsi="仿宋" w:eastAsia="仿宋" w:cs="仿宋"/>
          <w:highlight w:val="none"/>
        </w:rPr>
      </w:pPr>
    </w:p>
    <w:p>
      <w:pPr>
        <w:pStyle w:val="20"/>
        <w:ind w:right="164"/>
        <w:rPr>
          <w:rFonts w:hint="eastAsia" w:ascii="仿宋" w:hAnsi="仿宋" w:eastAsia="仿宋" w:cs="仿宋"/>
          <w:highlight w:val="none"/>
        </w:rPr>
      </w:pPr>
    </w:p>
    <w:p>
      <w:pPr>
        <w:rPr>
          <w:rFonts w:hint="eastAsia" w:ascii="仿宋" w:hAnsi="仿宋" w:eastAsia="仿宋" w:cs="仿宋"/>
          <w:highlight w:val="none"/>
        </w:rPr>
      </w:pPr>
    </w:p>
    <w:p>
      <w:pPr>
        <w:pStyle w:val="4"/>
        <w:numPr>
          <w:ilvl w:val="0"/>
          <w:numId w:val="7"/>
        </w:numPr>
        <w:spacing w:after="0"/>
        <w:rPr>
          <w:rFonts w:hint="eastAsia" w:cs="仿宋"/>
          <w:color w:val="000000"/>
          <w:highlight w:val="none"/>
        </w:rPr>
      </w:pPr>
      <w:r>
        <w:rPr>
          <w:rFonts w:hint="eastAsia" w:cs="仿宋"/>
          <w:color w:val="000000"/>
          <w:highlight w:val="none"/>
        </w:rPr>
        <w:t>定义</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甲方：指的是</w:t>
      </w:r>
      <w:r>
        <w:rPr>
          <w:rFonts w:hint="eastAsia" w:ascii="仿宋" w:hAnsi="仿宋" w:eastAsia="仿宋" w:cs="仿宋"/>
          <w:color w:val="000000"/>
          <w:sz w:val="24"/>
          <w:highlight w:val="none"/>
          <w:u w:val="single"/>
        </w:rPr>
        <w:t xml:space="preserve">  浙江中水数建科技有限公司  </w:t>
      </w:r>
      <w:r>
        <w:rPr>
          <w:rFonts w:hint="eastAsia" w:ascii="仿宋" w:hAnsi="仿宋" w:eastAsia="仿宋" w:cs="仿宋"/>
          <w:color w:val="000000"/>
          <w:sz w:val="24"/>
          <w:highlight w:val="none"/>
        </w:rPr>
        <w:t>。</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乙方：指的是</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合同：是指甲乙双方订立的协议，包括合同条款及其所有附件。</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合同价格：是指乙方已经全部履行了其合同义务后，由甲方支付给乙方的全部报酬，该价款不受价格波动的影响。</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技术服务：指的是现场勘查、咨询、方案设计、技术指导、集成调试、试运行、项目验收、性能保障、维护保修、人员培训及合同项下乙方应提供的其他有关服务。 </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上线试运行：系统安装调试完毕，达到竞谈文件及合同规定的功能、技术要求和性能指标之后进行的评审。</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初步验收：通过上线试运行期后（上线试运行期三个月），所进行的验收。如果上线试运行期内不能解决出现的故障，待故障解决后，重新计算试运行期时间。</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最终验收：初验合格后的一年进行验收。</w:t>
      </w:r>
    </w:p>
    <w:p>
      <w:pPr>
        <w:pStyle w:val="4"/>
        <w:numPr>
          <w:ilvl w:val="0"/>
          <w:numId w:val="7"/>
        </w:numPr>
        <w:spacing w:after="0"/>
        <w:rPr>
          <w:rFonts w:hint="eastAsia" w:cs="仿宋"/>
          <w:color w:val="000000"/>
          <w:highlight w:val="none"/>
        </w:rPr>
      </w:pPr>
      <w:bookmarkStart w:id="161" w:name="_Toc32211"/>
      <w:bookmarkStart w:id="162" w:name="_Toc28978"/>
      <w:r>
        <w:rPr>
          <w:rFonts w:hint="eastAsia" w:cs="仿宋"/>
          <w:color w:val="000000"/>
          <w:highlight w:val="none"/>
        </w:rPr>
        <w:t>合同标的</w:t>
      </w:r>
      <w:bookmarkEnd w:id="161"/>
      <w:bookmarkEnd w:id="162"/>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本合同的供货清单和分项价格在合同附件一中列出。乙方保证全部系统的技术性能、技术条件满足竞谈文件里技术规范书中所述的标准及规范。</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本合同包括为保证所供应的系统安全可靠、正常运行与维护所必须的技术服务及技术文件。</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乙方应派在相关领域从业五年以上，具有相关资格、职称、经验的技术人员到合同约定的项目现场进行技术服务，其费用已包括在合同总价中。</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合同标的到达指定地点之后，乙方应协助甲方进行系统的检验，并与甲方对合同系统进行交接，同时形成相应的接收文档。</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质量保证期内，乙方必须提供保证系统正常运行所需的技术支持服务，其费用已包括在合同总价中。</w:t>
      </w:r>
    </w:p>
    <w:p>
      <w:pPr>
        <w:numPr>
          <w:ilvl w:val="1"/>
          <w:numId w:val="8"/>
        </w:numPr>
        <w:spacing w:line="360" w:lineRule="auto"/>
        <w:rPr>
          <w:rFonts w:hint="eastAsia" w:ascii="仿宋" w:hAnsi="仿宋" w:eastAsia="仿宋" w:cs="仿宋"/>
          <w:highlight w:val="none"/>
        </w:rPr>
      </w:pPr>
      <w:r>
        <w:rPr>
          <w:rFonts w:hint="eastAsia" w:ascii="仿宋" w:hAnsi="仿宋" w:eastAsia="仿宋" w:cs="仿宋"/>
          <w:color w:val="000000"/>
          <w:sz w:val="24"/>
          <w:highlight w:val="none"/>
        </w:rPr>
        <w:t>乙方在合同的供货范围内免费向甲方提供关于改进系统的所有有关的技术文件。</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存档资料：乙方人员所产生的维护文档，问题处理报告，设备用户名等所有有关文档必须按照甲方要求进行存档或销毁，不许擅自带走。技术人员上门服务：上门至甲方工作地点，解决甲方工作中出现的问题。</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本项目竞谈文件中涉及甲乙双方的所有文件以及合同附件是本合同不可分割的一部分，具有同等法律效力。文件间有矛盾时，按签署该文件时间顺序来衡量，并以后者为准，附件与合同有矛盾时，以合同为准。</w:t>
      </w:r>
    </w:p>
    <w:p>
      <w:pPr>
        <w:pStyle w:val="4"/>
        <w:numPr>
          <w:ilvl w:val="0"/>
          <w:numId w:val="7"/>
        </w:numPr>
        <w:spacing w:after="0"/>
        <w:rPr>
          <w:rFonts w:hint="eastAsia" w:cs="仿宋"/>
          <w:color w:val="000000"/>
          <w:highlight w:val="none"/>
        </w:rPr>
      </w:pPr>
      <w:bookmarkStart w:id="163" w:name="_Toc662"/>
      <w:bookmarkStart w:id="164" w:name="_Toc451"/>
      <w:r>
        <w:rPr>
          <w:rFonts w:hint="eastAsia" w:cs="仿宋"/>
          <w:color w:val="000000"/>
          <w:highlight w:val="none"/>
        </w:rPr>
        <w:t>合同范围</w:t>
      </w:r>
      <w:bookmarkEnd w:id="163"/>
      <w:bookmarkEnd w:id="164"/>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供货范围详见技术规范书，包括所有软件系统、硬件系统、技术文件、技术服务及技术培训，但在执行合同过程中如果发现有任何漏项和短缺，在合同中并未列入但确实是乙方工作范围中应该有的，并且是满足技术规范书中的要求所必须的，均由乙方负责将所缺的软件系统、硬件系统、技术文件、技术服务及技术培训补上，且不与甲方发生费用问题。</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双方同意乙方为本合同的唯一承包方，未经甲方书面授权，乙方不得将合同分包或转包给第三方。</w:t>
      </w:r>
    </w:p>
    <w:p>
      <w:pPr>
        <w:pStyle w:val="4"/>
        <w:numPr>
          <w:ilvl w:val="0"/>
          <w:numId w:val="7"/>
        </w:numPr>
        <w:spacing w:after="0"/>
        <w:rPr>
          <w:rFonts w:hint="eastAsia" w:cs="仿宋"/>
          <w:color w:val="000000"/>
          <w:highlight w:val="none"/>
        </w:rPr>
      </w:pPr>
      <w:bookmarkStart w:id="165" w:name="_Toc6507"/>
      <w:bookmarkStart w:id="166" w:name="_Toc26429"/>
      <w:r>
        <w:rPr>
          <w:rFonts w:hint="eastAsia" w:cs="仿宋"/>
          <w:color w:val="000000"/>
          <w:highlight w:val="none"/>
        </w:rPr>
        <w:t>合同价格</w:t>
      </w:r>
      <w:bookmarkEnd w:id="165"/>
      <w:bookmarkEnd w:id="166"/>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以乙方完成对合同项下全部义务为前提，本合同总价为人民币（含增值税）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万元，(大写：</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元)。</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价格的充分性,</w:t>
      </w:r>
      <w:r>
        <w:rPr>
          <w:rFonts w:hint="eastAsia" w:ascii="仿宋" w:hAnsi="仿宋" w:eastAsia="仿宋" w:cs="仿宋"/>
          <w:bCs/>
          <w:color w:val="000000"/>
          <w:sz w:val="24"/>
          <w:highlight w:val="none"/>
        </w:rPr>
        <w:t>应当认为乙方已彻底查清，并在本合同价格中充分考虑到了以下各项：</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影响合同价格的全部条件和情况。</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完成合同中所述项目的可能性。</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现场的综合情况,以及现场总的劳务情况。</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合同价格包含了以下可能存在的费用（该价格包括但不限于此）：</w:t>
      </w:r>
    </w:p>
    <w:p>
      <w:pPr>
        <w:numPr>
          <w:ilvl w:val="0"/>
          <w:numId w:val="9"/>
        </w:numPr>
        <w:spacing w:line="360" w:lineRule="auto"/>
        <w:ind w:left="1033" w:leftChars="3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系统整体规划设计、系统建设、系统集成、安装调试、技术服务和维保服务、技术资料、技术支持与培训、现场技术服务费用；</w:t>
      </w:r>
    </w:p>
    <w:p>
      <w:pPr>
        <w:numPr>
          <w:ilvl w:val="0"/>
          <w:numId w:val="9"/>
        </w:numPr>
        <w:spacing w:line="360" w:lineRule="auto"/>
        <w:ind w:left="1033" w:leftChars="3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乙方人工费用；</w:t>
      </w:r>
    </w:p>
    <w:p>
      <w:pPr>
        <w:numPr>
          <w:ilvl w:val="0"/>
          <w:numId w:val="9"/>
        </w:numPr>
        <w:spacing w:line="360" w:lineRule="auto"/>
        <w:ind w:left="1033" w:leftChars="3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有关的必要功能扩充所需费用；</w:t>
      </w:r>
    </w:p>
    <w:p>
      <w:pPr>
        <w:numPr>
          <w:ilvl w:val="0"/>
          <w:numId w:val="9"/>
        </w:numPr>
        <w:spacing w:line="360" w:lineRule="auto"/>
        <w:ind w:left="1033" w:leftChars="3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系统可能的特许使用费；</w:t>
      </w:r>
    </w:p>
    <w:p>
      <w:pPr>
        <w:numPr>
          <w:ilvl w:val="0"/>
          <w:numId w:val="9"/>
        </w:numPr>
        <w:spacing w:line="360" w:lineRule="auto"/>
        <w:ind w:left="1033" w:leftChars="3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对甲方技术人员和操作人员的除住宿、交通费外的全部培训费用；</w:t>
      </w:r>
    </w:p>
    <w:p>
      <w:pPr>
        <w:numPr>
          <w:ilvl w:val="0"/>
          <w:numId w:val="9"/>
        </w:numPr>
        <w:spacing w:line="360" w:lineRule="auto"/>
        <w:ind w:left="1033" w:leftChars="3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系统在制造、进口、销售、运行各个环节的税收及费用；</w:t>
      </w:r>
    </w:p>
    <w:p>
      <w:pPr>
        <w:numPr>
          <w:ilvl w:val="0"/>
          <w:numId w:val="9"/>
        </w:numPr>
        <w:spacing w:line="360" w:lineRule="auto"/>
        <w:ind w:left="1033" w:leftChars="3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乙方的税收、管理费用及其它各项开支；</w:t>
      </w:r>
    </w:p>
    <w:p>
      <w:pPr>
        <w:numPr>
          <w:ilvl w:val="0"/>
          <w:numId w:val="9"/>
        </w:numPr>
        <w:spacing w:line="360" w:lineRule="auto"/>
        <w:ind w:left="1033" w:leftChars="3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合同中规定的应由乙方承担的其它费用，以及合同中未明确约定，但系与乙方完成本合同项下义务相关的所有其他费用。</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合同分项价格详见合同附件一。</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除前述款项外，就乙方完成本合同项下的全部责任和义务，甲方不再向乙方支付任何其它款项和费用。</w:t>
      </w:r>
    </w:p>
    <w:p>
      <w:pPr>
        <w:numPr>
          <w:ilvl w:val="1"/>
          <w:numId w:val="8"/>
        </w:numPr>
        <w:spacing w:line="360" w:lineRule="auto"/>
        <w:ind w:left="0" w:firstLine="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本合同单价为暂定单价，金额为暂定金额，最终结算单价视甲方对项目部结算情况，经双方最终确定结算单为准，结算金额依据甲方对上结算调整情况同比例调整。</w:t>
      </w:r>
    </w:p>
    <w:p>
      <w:pPr>
        <w:pStyle w:val="4"/>
        <w:numPr>
          <w:ilvl w:val="0"/>
          <w:numId w:val="7"/>
        </w:numPr>
        <w:spacing w:after="0"/>
        <w:rPr>
          <w:rFonts w:hint="eastAsia" w:cs="仿宋"/>
          <w:color w:val="000000"/>
          <w:highlight w:val="none"/>
        </w:rPr>
      </w:pPr>
      <w:bookmarkStart w:id="167" w:name="_Toc13949"/>
      <w:bookmarkStart w:id="168" w:name="_Toc25916"/>
      <w:r>
        <w:rPr>
          <w:rFonts w:hint="eastAsia" w:cs="仿宋"/>
          <w:color w:val="000000"/>
          <w:highlight w:val="none"/>
        </w:rPr>
        <w:t>付款方式和付款比例</w:t>
      </w:r>
      <w:bookmarkEnd w:id="167"/>
      <w:bookmarkEnd w:id="168"/>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本合同计价货币为</w:t>
      </w:r>
      <w:r>
        <w:rPr>
          <w:rFonts w:hint="eastAsia" w:ascii="仿宋" w:hAnsi="仿宋" w:eastAsia="仿宋" w:cs="仿宋"/>
          <w:color w:val="000000"/>
          <w:sz w:val="24"/>
          <w:highlight w:val="none"/>
          <w:u w:val="single"/>
        </w:rPr>
        <w:t>人民币</w:t>
      </w:r>
      <w:r>
        <w:rPr>
          <w:rFonts w:hint="eastAsia" w:ascii="仿宋" w:hAnsi="仿宋" w:eastAsia="仿宋" w:cs="仿宋"/>
          <w:color w:val="000000"/>
          <w:sz w:val="24"/>
          <w:highlight w:val="none"/>
        </w:rPr>
        <w:t>。</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付款方式：银行转账、支票或银行承兑。</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合同款的支付：  </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kern w:val="0"/>
          <w:sz w:val="24"/>
          <w:szCs w:val="22"/>
          <w:highlight w:val="none"/>
        </w:rPr>
      </w:pPr>
      <w:r>
        <w:rPr>
          <w:rFonts w:hint="eastAsia" w:ascii="仿宋" w:hAnsi="仿宋" w:eastAsia="仿宋" w:cs="仿宋"/>
          <w:kern w:val="0"/>
          <w:sz w:val="24"/>
          <w:szCs w:val="22"/>
          <w:highlight w:val="none"/>
        </w:rPr>
        <w:t>a.合同生效以及具备实施条件后7个工作日内，将下列单据提供给甲方，甲方审核无误后15个工作日内支付乙方合同总额的 20%。</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kern w:val="0"/>
          <w:sz w:val="24"/>
          <w:szCs w:val="22"/>
          <w:highlight w:val="none"/>
        </w:rPr>
      </w:pPr>
      <w:r>
        <w:rPr>
          <w:rFonts w:hint="eastAsia" w:ascii="仿宋" w:hAnsi="仿宋" w:eastAsia="仿宋" w:cs="仿宋"/>
          <w:kern w:val="0"/>
          <w:sz w:val="24"/>
          <w:szCs w:val="22"/>
          <w:highlight w:val="none"/>
        </w:rPr>
        <w:t>(1)金额为合同总额 20 %的增值税专用发票。</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kern w:val="0"/>
          <w:sz w:val="24"/>
          <w:szCs w:val="22"/>
          <w:highlight w:val="none"/>
        </w:rPr>
      </w:pPr>
      <w:r>
        <w:rPr>
          <w:rFonts w:hint="eastAsia" w:ascii="仿宋" w:hAnsi="仿宋" w:eastAsia="仿宋" w:cs="仿宋"/>
          <w:kern w:val="0"/>
          <w:sz w:val="24"/>
          <w:szCs w:val="22"/>
          <w:highlight w:val="none"/>
        </w:rPr>
        <w:t>b.乙方实现合同中规定的系统功能要求，并经系统最终验收合格后，将下列单据提供给甲方，甲方审核无误后15个工作日内支付乙方合同总额的80%。</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kern w:val="0"/>
          <w:sz w:val="24"/>
          <w:szCs w:val="22"/>
          <w:highlight w:val="none"/>
        </w:rPr>
      </w:pPr>
      <w:r>
        <w:rPr>
          <w:rFonts w:hint="eastAsia" w:ascii="仿宋" w:hAnsi="仿宋" w:eastAsia="仿宋" w:cs="仿宋"/>
          <w:kern w:val="0"/>
          <w:sz w:val="24"/>
          <w:szCs w:val="22"/>
          <w:highlight w:val="none"/>
        </w:rPr>
        <w:t>(1)甲乙双方授权代表确认的系统验收合格报告。</w:t>
      </w:r>
    </w:p>
    <w:p>
      <w:pPr>
        <w:pStyle w:val="12"/>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color w:val="000000"/>
          <w:sz w:val="24"/>
          <w:highlight w:val="none"/>
        </w:rPr>
      </w:pPr>
      <w:r>
        <w:rPr>
          <w:rFonts w:hint="eastAsia" w:ascii="仿宋" w:hAnsi="仿宋" w:eastAsia="仿宋" w:cs="仿宋"/>
          <w:kern w:val="0"/>
          <w:sz w:val="24"/>
          <w:szCs w:val="22"/>
          <w:highlight w:val="none"/>
        </w:rPr>
        <w:t>(2)金额为合同总额80%的增值税专用发票。</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甲方有权从到期的付款或质量保证金中扣除合同规定的、乙方有责任支付的违约金。</w:t>
      </w:r>
    </w:p>
    <w:p>
      <w:pPr>
        <w:pStyle w:val="4"/>
        <w:numPr>
          <w:ilvl w:val="0"/>
          <w:numId w:val="7"/>
        </w:numPr>
        <w:spacing w:after="0"/>
        <w:rPr>
          <w:rFonts w:hint="eastAsia" w:cs="仿宋"/>
          <w:color w:val="000000"/>
          <w:highlight w:val="none"/>
        </w:rPr>
      </w:pPr>
      <w:bookmarkStart w:id="169" w:name="_Toc17451"/>
      <w:bookmarkStart w:id="170" w:name="_Toc1987"/>
      <w:r>
        <w:rPr>
          <w:rFonts w:hint="eastAsia" w:cs="仿宋"/>
          <w:color w:val="000000"/>
          <w:highlight w:val="none"/>
        </w:rPr>
        <w:t>技术服务及联络</w:t>
      </w:r>
      <w:bookmarkEnd w:id="169"/>
      <w:bookmarkEnd w:id="170"/>
    </w:p>
    <w:p>
      <w:pPr>
        <w:pStyle w:val="33"/>
        <w:numPr>
          <w:ilvl w:val="0"/>
          <w:numId w:val="10"/>
        </w:numPr>
        <w:spacing w:line="360" w:lineRule="auto"/>
        <w:ind w:firstLineChars="0"/>
        <w:rPr>
          <w:rFonts w:hint="eastAsia" w:ascii="仿宋" w:hAnsi="仿宋" w:eastAsia="仿宋" w:cs="仿宋"/>
          <w:vanish/>
          <w:color w:val="000000"/>
          <w:sz w:val="24"/>
          <w:highlight w:val="none"/>
        </w:rPr>
      </w:pPr>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须派在相关领域从业五年以上，具有相关资格或职称，且有丰富经验的技术人员到现场进行技术服务，并负责解决合同系统和系统在安装调试、试运行以及质量保证期中所发现的质量问题，服务范围见技术规范书。在必要的情况下，甲方有权要求乙方在不影响项目进度的条件下重新选派技术服务人员。</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项目实施前，乙方应向甲方提交详细的实施方案，由甲方确认后方可进行。</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在合同生效后两天内，双方确定项目负责人联络方式。</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如遇有重大问题需要双方立即研究协商时，任何一方均可建议召开会议，另一方应同意参加，除非有特殊情况可以不参加，但需将特殊情况以书面形式告知对方，并且在一个月中不得超过三次，否则视为违约，每发生一次扣除合同总额5%。</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各次会议及其他联络方式双方均应签署会议或联络纪要，所签纪要双方均应执行。如涉及合同条款有修改时，需经双方授权代表签字盖章后生效，经双方签署书面文件予以确认，以修改本为准，且修改内容要及时通知原合同有关各方备案。</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提出并经双方在会议上确定的安装、调试和运行技术服务方案，乙方如有修改，须以书面形式通知甲方，经甲方书面确认后方可进行。为适应现场条件的要求，甲方有权提出变更或修改意见，并书面通知乙方，乙方应给予充分考虑，满足甲方要求。</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乙方负责对甲方人员的技术培训工作，培训时间、地点、内容及培训资料等详见合同附件，费用含在总价之内。</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甲方有权将乙方的技术服务方案以及乙方提供的一切有关合同项目的技术资料复印分发给与甲方有关的各方。</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在服务期限内，乙方为甲方提供远程技术支持服务(7*24小时热线支持电话和相关邮件回复)，并给予相关问题的方案和建议。</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对双方盖有“密件”印章的文件，双方均有保密义务，但甲方系统内部使用的行为除外。</w:t>
      </w:r>
    </w:p>
    <w:p>
      <w:pPr>
        <w:pStyle w:val="4"/>
        <w:numPr>
          <w:ilvl w:val="0"/>
          <w:numId w:val="7"/>
        </w:numPr>
        <w:spacing w:after="0"/>
        <w:rPr>
          <w:rFonts w:hint="eastAsia" w:cs="仿宋"/>
          <w:color w:val="000000"/>
          <w:highlight w:val="none"/>
        </w:rPr>
      </w:pPr>
      <w:bookmarkStart w:id="171" w:name="_Toc12293"/>
      <w:bookmarkStart w:id="172" w:name="_Toc29423"/>
      <w:r>
        <w:rPr>
          <w:rFonts w:hint="eastAsia" w:cs="仿宋"/>
          <w:color w:val="000000"/>
          <w:highlight w:val="none"/>
        </w:rPr>
        <w:t>双方的权利和义务</w:t>
      </w:r>
      <w:bookmarkEnd w:id="171"/>
      <w:bookmarkEnd w:id="172"/>
    </w:p>
    <w:p>
      <w:pPr>
        <w:pStyle w:val="33"/>
        <w:numPr>
          <w:ilvl w:val="0"/>
          <w:numId w:val="11"/>
        </w:numPr>
        <w:spacing w:line="360" w:lineRule="auto"/>
        <w:ind w:firstLineChars="0"/>
        <w:rPr>
          <w:rFonts w:hint="eastAsia" w:ascii="仿宋" w:hAnsi="仿宋" w:eastAsia="仿宋" w:cs="仿宋"/>
          <w:vanish/>
          <w:color w:val="000000"/>
          <w:sz w:val="24"/>
          <w:highlight w:val="none"/>
        </w:rPr>
      </w:pPr>
    </w:p>
    <w:p>
      <w:pPr>
        <w:pStyle w:val="33"/>
        <w:numPr>
          <w:ilvl w:val="0"/>
          <w:numId w:val="11"/>
        </w:numPr>
        <w:spacing w:line="360" w:lineRule="auto"/>
        <w:ind w:firstLineChars="0"/>
        <w:rPr>
          <w:rFonts w:hint="eastAsia" w:ascii="仿宋" w:hAnsi="仿宋" w:eastAsia="仿宋" w:cs="仿宋"/>
          <w:vanish/>
          <w:color w:val="000000"/>
          <w:sz w:val="24"/>
          <w:highlight w:val="none"/>
        </w:rPr>
      </w:pPr>
    </w:p>
    <w:p>
      <w:pPr>
        <w:pStyle w:val="33"/>
        <w:numPr>
          <w:ilvl w:val="0"/>
          <w:numId w:val="11"/>
        </w:numPr>
        <w:spacing w:line="360" w:lineRule="auto"/>
        <w:ind w:firstLineChars="0"/>
        <w:rPr>
          <w:rFonts w:hint="eastAsia" w:ascii="仿宋" w:hAnsi="仿宋" w:eastAsia="仿宋" w:cs="仿宋"/>
          <w:vanish/>
          <w:color w:val="000000"/>
          <w:sz w:val="24"/>
          <w:highlight w:val="none"/>
        </w:rPr>
      </w:pPr>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甲方的权利和义务</w:t>
      </w:r>
    </w:p>
    <w:p>
      <w:pPr>
        <w:pStyle w:val="33"/>
        <w:numPr>
          <w:ilvl w:val="0"/>
          <w:numId w:val="10"/>
        </w:numPr>
        <w:tabs>
          <w:tab w:val="left" w:pos="1276"/>
        </w:tabs>
        <w:spacing w:line="360" w:lineRule="auto"/>
        <w:ind w:firstLineChars="0"/>
        <w:jc w:val="left"/>
        <w:rPr>
          <w:rFonts w:hint="eastAsia" w:ascii="仿宋" w:hAnsi="仿宋" w:eastAsia="仿宋" w:cs="仿宋"/>
          <w:vanish/>
          <w:color w:val="000000"/>
          <w:sz w:val="24"/>
          <w:highlight w:val="none"/>
        </w:rPr>
      </w:pPr>
    </w:p>
    <w:p>
      <w:pPr>
        <w:pStyle w:val="33"/>
        <w:numPr>
          <w:ilvl w:val="1"/>
          <w:numId w:val="10"/>
        </w:numPr>
        <w:tabs>
          <w:tab w:val="left" w:pos="1276"/>
        </w:tabs>
        <w:spacing w:line="360" w:lineRule="auto"/>
        <w:ind w:firstLineChars="0"/>
        <w:jc w:val="left"/>
        <w:rPr>
          <w:rFonts w:hint="eastAsia" w:ascii="仿宋" w:hAnsi="仿宋" w:eastAsia="仿宋" w:cs="仿宋"/>
          <w:vanish/>
          <w:color w:val="000000"/>
          <w:sz w:val="24"/>
          <w:highlight w:val="none"/>
        </w:rPr>
      </w:pP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参照项目开发进度计划，在项目开发和实施过程中提供配合与支持，协助乙方解决阻碍项目进展的有关问题，保证计划的顺利实施。</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根据本合同的规定和项目需要，向乙方提供有关资料，并指派相关人员配合乙方调查了解有关情况。</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按进度要求及时组织各里程碑成果的验收工作。</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按合同规定支付项目建设费用。</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遵守本合同所规定的知识产权与保密方面的义务。</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乙方的权利和义务</w:t>
      </w:r>
    </w:p>
    <w:p>
      <w:pPr>
        <w:pStyle w:val="33"/>
        <w:numPr>
          <w:ilvl w:val="1"/>
          <w:numId w:val="10"/>
        </w:numPr>
        <w:tabs>
          <w:tab w:val="left" w:pos="1276"/>
        </w:tabs>
        <w:spacing w:line="360" w:lineRule="auto"/>
        <w:ind w:firstLineChars="0"/>
        <w:jc w:val="left"/>
        <w:rPr>
          <w:rFonts w:hint="eastAsia" w:ascii="仿宋" w:hAnsi="仿宋" w:eastAsia="仿宋" w:cs="仿宋"/>
          <w:vanish/>
          <w:color w:val="000000"/>
          <w:sz w:val="24"/>
          <w:highlight w:val="none"/>
        </w:rPr>
      </w:pP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乙方根据竞谈书以及甲方需求，组织实施建设项目的实施工作。</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乙方根据竞谈书以及甲方需求，组织技术人员按双方约定的系统实施计划开展系统建设工作，并及时向甲方汇报开发进度。乙方认为确需修改进度，须经甲方确认，修改进度后发生的追加费用由乙方自理。</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乙方负责对甲方人员提供相应的专业和技术培训。培训工作内容参见合同附件。</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乙方成立专门服务于甲方的项目小组，项目小组的成员数量、专业素质等必须充分保证本项目的顺利开展。</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项目小组须服从甲方管理，包括项目经理，项目组成员、项目组成员数量等须根据甲方要求做出相应调整，项目小组须服从甲方及监理管理。</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项目小组人员应保持稳定，项目经理及核心人员变换需经甲方同意。项目小组成员在未完全履行本项目规定责任及义务期间，未经甲方同意，不得参与其他项目，否则视为乙方违约。</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乙方保证严格按照合同附件的承诺向甲方提供技术支持与售后服务。</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乙方保证严格按照本合同及其附件的规定组织和进行系统建设。</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乙方对其技术方案的可行性和实施完整性负全责。</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有义务对甲方现有的技术及软件进行充分了解，并结合甲方拟建的系统，充分利用甲方已有设备和相关软硬件。除甲方明确表示需依照本合同由乙方升级优化的和不予保留的功能之外，乙方不得由于集成了本合同所规定的系统后，而破坏其原有功能。</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乙方保证向甲方提供的系统及服务不会侵害第三方知识产权，否则，由此产生的一切法律后果由乙方独立承担。并赔偿甲方因此所遭受的经济损失。</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遵守本合同规定的知识产权与保密方面的义务，按照甲方要求签订《保密协议》。</w:t>
      </w:r>
    </w:p>
    <w:p>
      <w:pPr>
        <w:pStyle w:val="4"/>
        <w:numPr>
          <w:ilvl w:val="0"/>
          <w:numId w:val="7"/>
        </w:numPr>
        <w:spacing w:after="0"/>
        <w:rPr>
          <w:rFonts w:hint="eastAsia" w:cs="仿宋"/>
          <w:color w:val="000000"/>
          <w:highlight w:val="none"/>
        </w:rPr>
      </w:pPr>
      <w:bookmarkStart w:id="173" w:name="_Toc22583"/>
      <w:bookmarkStart w:id="174" w:name="_Toc19233"/>
      <w:r>
        <w:rPr>
          <w:rFonts w:hint="eastAsia" w:cs="仿宋"/>
          <w:color w:val="000000"/>
          <w:highlight w:val="none"/>
        </w:rPr>
        <w:t>保证与索赔</w:t>
      </w:r>
      <w:bookmarkEnd w:id="173"/>
      <w:bookmarkEnd w:id="174"/>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乙方保证所交付的技术文件应保证清晰、完整、统一、正确，并能满足技术规范书的要求。</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保证拥有其实施方案以及相关合同系统的商标权、专利权及其它知识产权或自己取得相关权利所有人的使用许可，并保证甲方使用不侵犯任何他人的有关权利，否则由乙方承担由此引发的一切法律责任，并赔偿甲方由此而引起的损失。</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履行期间，如果乙方提供的技术资料有错误，或者由于乙方技术人员的过错造成了损失，乙方须立即无偿进行赔付，以免影响整个项目的正常进行。乙方如需委托第三方在现场进行赔付，必须征得甲方书面认可，且其质量和所有费用均由乙方负责。</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由于乙方责任修复有缺陷的合同系统，使本合同的系统推迟安装或停运时，则保证期按实际修复所延误的时间作相应的延长，且新更换的合同系统，其保证期应重新计算。</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乙方应保证该系统运行的安全性，如果该系统发生信息安全问题或因该系统造成信息安全事件，应由乙方承担全部安全责任，并处以因此造成的直接和间接损失的双倍罚款。</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由于乙方责任，在系统进行正常投入运行交接证明后，不能达到甲方认可的系统功能验收标准中的一项或多项保证指标时，甲方除有权终止合同，收回已付款项，并要求乙方对甲方进行经济赔偿；甲方也可以要求乙方支付违约金，其计算方法如下：</w:t>
      </w:r>
    </w:p>
    <w:p>
      <w:pPr>
        <w:spacing w:line="360" w:lineRule="auto"/>
        <w:ind w:left="525" w:leftChars="250"/>
        <w:rPr>
          <w:rFonts w:hint="eastAsia" w:ascii="仿宋" w:hAnsi="仿宋" w:eastAsia="仿宋" w:cs="仿宋"/>
          <w:color w:val="000000"/>
          <w:sz w:val="24"/>
          <w:highlight w:val="none"/>
        </w:rPr>
      </w:pPr>
      <w:r>
        <w:rPr>
          <w:rFonts w:hint="eastAsia" w:ascii="仿宋" w:hAnsi="仿宋" w:eastAsia="仿宋" w:cs="仿宋"/>
          <w:color w:val="000000"/>
          <w:sz w:val="24"/>
          <w:highlight w:val="none"/>
        </w:rPr>
        <w:t>如果达不到双方认可实施文档描述的功能，每少一项，罚款为合同总价的1％；不满一个违约金计算单位的，按实际比例计算。</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乙方提交违约金后，仍有责任向甲方提供技术帮助，并采取各种措施（包括改进相关软件功能）以达到竞谈文件提出的各项功能及技术要求，由此发生的一切费用均由乙方自行承担。</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如果甲方不要求推迟交付而乙方未能按本合同规定的交付期交付时(不可抗力除外)，或延误项目进度，甲方有权按下列比例向乙方收取违约金，因甲方因素项目实施推延的除外：</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不能按合同进度要求完成项目功能内容的，以双方认可实施文档为依据。（由于甲方原因而影响乙方项目实施进度不在此列）， </w:t>
      </w:r>
    </w:p>
    <w:p>
      <w:pPr>
        <w:numPr>
          <w:ilvl w:val="0"/>
          <w:numId w:val="12"/>
        </w:numPr>
        <w:spacing w:line="360" w:lineRule="auto"/>
        <w:ind w:left="1033" w:leftChars="3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迟交或延误项目进度一周内，每天违约金金额为合同价格的0.2%；</w:t>
      </w:r>
    </w:p>
    <w:p>
      <w:pPr>
        <w:numPr>
          <w:ilvl w:val="0"/>
          <w:numId w:val="12"/>
        </w:numPr>
        <w:spacing w:line="360" w:lineRule="auto"/>
        <w:ind w:left="1033" w:leftChars="3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迟交或延误项目进度2－3周，每天违约金金额为合同价格的0.5%；</w:t>
      </w:r>
    </w:p>
    <w:p>
      <w:pPr>
        <w:numPr>
          <w:ilvl w:val="0"/>
          <w:numId w:val="12"/>
        </w:numPr>
        <w:spacing w:line="360" w:lineRule="auto"/>
        <w:ind w:left="1033" w:leftChars="3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迟交或延误项目进度3周以上，每天违约金金额为合同价格的1%。</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迟交违约金的总金额不超过合同总价的20%。合同系统和服务延误发生的违约金总金额不超过合同总价的30%。但所有违约金不超过合同总价的35%。</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乙方支付迟交违约金，并不解除乙方按照合同继续履行合同义务。</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如果由于乙方责任未能按本合同规定按时交付关键技术资料时，则每迟交一天，乙方支付违约金1万元/件。</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如果由乙方原因发生项目质量和安全事件，每发生一次所造成的的损失由乙方全部承担，并扣除合同总价的2%违约赔偿金。</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乙方保证具备签订本合同的主体资格，并具有履行本合同项下全部责任和义务的能力。</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乙方保证及时将履行合同过程中出现的有关情况向甲方做出书面报告等。</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依照法律、法规及本合同规定应由乙方履行的其他责任和义务。</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乙方不得未经甲方允许擅自更换项目经理，每发生一次扣除合同总额5%，且项目经理应常驻项目现场，每月不得少于7个日历日，不得担任其他项目项目经理。</w:t>
      </w:r>
    </w:p>
    <w:p>
      <w:pPr>
        <w:pStyle w:val="4"/>
        <w:numPr>
          <w:ilvl w:val="0"/>
          <w:numId w:val="7"/>
        </w:numPr>
        <w:spacing w:after="0"/>
        <w:rPr>
          <w:rFonts w:hint="eastAsia" w:cs="仿宋"/>
          <w:color w:val="000000"/>
          <w:highlight w:val="none"/>
        </w:rPr>
      </w:pPr>
      <w:bookmarkStart w:id="175" w:name="_Toc4441"/>
      <w:bookmarkStart w:id="176" w:name="_Toc19283"/>
      <w:r>
        <w:rPr>
          <w:rFonts w:hint="eastAsia" w:cs="仿宋"/>
          <w:color w:val="000000"/>
          <w:highlight w:val="none"/>
        </w:rPr>
        <w:t>合同的变更、修改与违约</w:t>
      </w:r>
      <w:bookmarkEnd w:id="175"/>
      <w:bookmarkEnd w:id="176"/>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一经签订，合同双方均不得擅自对本合同的内容(包括附件)作任何单方修改。但任何一方均可以对合同内容以书面形式提出修改变更、取消或补充的建议。双方同意后经双方法定代表人或其授权代理人签字并加盖法人印章后生效，同时将修改后有关部分抄送原合同有关单位。如果双方共同认为该项修改会对合同价格和交货进度有重大影响时，一方应在收到上述修改通知书后的两个工作日内，提出影响合同价格或交货期的详细说明。</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如果乙方有违反或拒绝履行本合同规定的行为时，甲方将书面通知乙方，乙方在接到通知书后两个工作日内做出纠正。否则，甲方将保留暂停履行本合同一部分或全部的权利。对于这种暂停，甲方将不出具书面通知，由此而发生的一切费用、损失和索赔将由乙方负担。</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如果甲方行使暂停履行合同的权利后，甲方有权停付到期应向乙方支付暂停部分的款项，并有权将在履行合同中预付给乙方的暂停部分款项索回。</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在合同履行期间，若因甲方原因要求对合同项目的实施进行了重大的变更，甲方应考虑乙方的咨询业务周期及由此而发生的费用变化；乙方接到甲方的书面通知后，应充分考虑甲方意见，与甲方一起尽早完成合同修改。</w:t>
      </w:r>
    </w:p>
    <w:p>
      <w:pPr>
        <w:pStyle w:val="4"/>
        <w:numPr>
          <w:ilvl w:val="0"/>
          <w:numId w:val="7"/>
        </w:numPr>
        <w:spacing w:after="0"/>
        <w:rPr>
          <w:rFonts w:hint="eastAsia" w:cs="仿宋"/>
          <w:color w:val="000000"/>
          <w:highlight w:val="none"/>
        </w:rPr>
      </w:pPr>
      <w:bookmarkStart w:id="177" w:name="_Toc25110"/>
      <w:bookmarkStart w:id="178" w:name="_Toc15994"/>
      <w:r>
        <w:rPr>
          <w:rFonts w:hint="eastAsia" w:cs="仿宋"/>
          <w:color w:val="000000"/>
          <w:highlight w:val="none"/>
        </w:rPr>
        <w:t>不可抗力</w:t>
      </w:r>
      <w:bookmarkEnd w:id="177"/>
      <w:bookmarkEnd w:id="178"/>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不可抗力是合同签字并加盖法人印章生效后发生的非有关方所能控制的，并非合同方过失的、无法中止的、不能预防的社会和自然事件，如严重的自然灾害(地震、火灾等)、战争、叛乱等。合同双方的任何一方，由于不可抗力而影响合同义务履行时，则延迟合同义务的期限相当于不可抗力事件的时间（或由甲乙双方共同商定），但不能因为不可抗力的延迟而调整价格。</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受到不可抗力影响的一方应在不可抗力事件发生后，10日内将所发生的不可抗力事件的情况书面通知另一方确认，受影响的一方同时应尽量设法缩小这种影响和由此而引起的延误，一旦不可抗力的影响消除后，应将此情况立即通知对方。</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如不可抗力事件的影响持续超期60天，甲方有权终止合同。</w:t>
      </w:r>
    </w:p>
    <w:p>
      <w:pPr>
        <w:pStyle w:val="4"/>
        <w:numPr>
          <w:ilvl w:val="0"/>
          <w:numId w:val="7"/>
        </w:numPr>
        <w:spacing w:after="0"/>
        <w:rPr>
          <w:rFonts w:hint="eastAsia" w:cs="仿宋"/>
          <w:color w:val="000000"/>
          <w:highlight w:val="none"/>
        </w:rPr>
      </w:pPr>
      <w:bookmarkStart w:id="179" w:name="_Toc29689"/>
      <w:bookmarkStart w:id="180" w:name="_Toc13103"/>
      <w:r>
        <w:rPr>
          <w:rFonts w:hint="eastAsia" w:cs="仿宋"/>
          <w:color w:val="000000"/>
          <w:highlight w:val="none"/>
        </w:rPr>
        <w:t>合同争议的解决</w:t>
      </w:r>
      <w:bookmarkEnd w:id="179"/>
      <w:bookmarkEnd w:id="180"/>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本合同适用法律为中华人民共和国法律。</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bCs/>
          <w:sz w:val="24"/>
          <w:szCs w:val="24"/>
          <w:highlight w:val="none"/>
        </w:rPr>
        <w:t>因履行本协议发生的争议，双方可友好协商解决；如协商解决不成，可在甲方所在地人民法院诉讼</w:t>
      </w:r>
      <w:r>
        <w:rPr>
          <w:rFonts w:hint="eastAsia" w:ascii="仿宋" w:hAnsi="仿宋" w:eastAsia="仿宋" w:cs="仿宋"/>
          <w:color w:val="000000"/>
          <w:sz w:val="24"/>
          <w:highlight w:val="none"/>
        </w:rPr>
        <w:t>。</w:t>
      </w:r>
    </w:p>
    <w:p>
      <w:pPr>
        <w:pStyle w:val="4"/>
        <w:numPr>
          <w:ilvl w:val="0"/>
          <w:numId w:val="7"/>
        </w:numPr>
        <w:spacing w:after="0"/>
        <w:rPr>
          <w:rFonts w:hint="eastAsia" w:cs="仿宋"/>
          <w:color w:val="000000"/>
          <w:highlight w:val="none"/>
        </w:rPr>
      </w:pPr>
      <w:bookmarkStart w:id="181" w:name="_Toc11897"/>
      <w:bookmarkStart w:id="182" w:name="_Toc2174"/>
      <w:r>
        <w:rPr>
          <w:rFonts w:hint="eastAsia" w:cs="仿宋"/>
          <w:color w:val="000000"/>
          <w:highlight w:val="none"/>
        </w:rPr>
        <w:t>税项</w:t>
      </w:r>
      <w:bookmarkEnd w:id="181"/>
      <w:bookmarkEnd w:id="182"/>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与履行合同有关的由中国政府根据现行税收法向甲方征收的全部税款应由甲方负担，合同总价中已包括所有税收。</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与履行合同有关的由中国政府根据现行税收法向乙方征收的全部税款应由乙方负担。</w:t>
      </w:r>
    </w:p>
    <w:p>
      <w:pPr>
        <w:pStyle w:val="4"/>
        <w:numPr>
          <w:ilvl w:val="0"/>
          <w:numId w:val="7"/>
        </w:numPr>
        <w:spacing w:after="0"/>
        <w:rPr>
          <w:rFonts w:hint="eastAsia" w:cs="仿宋"/>
          <w:color w:val="000000"/>
          <w:highlight w:val="none"/>
        </w:rPr>
      </w:pPr>
      <w:bookmarkStart w:id="183" w:name="_Toc18005"/>
      <w:bookmarkStart w:id="184" w:name="_Toc1871"/>
      <w:r>
        <w:rPr>
          <w:rFonts w:hint="eastAsia" w:cs="仿宋"/>
          <w:color w:val="000000"/>
          <w:highlight w:val="none"/>
        </w:rPr>
        <w:t>知识产权及保密义务</w:t>
      </w:r>
      <w:bookmarkEnd w:id="183"/>
      <w:bookmarkEnd w:id="184"/>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知识产权</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本合同项下，乙方开发的软件及相关文件和文档，甲方享有永久使用权；与本系统相关的且由甲方提供的技术信息开发而新产生的功能、商业秘密信息、技术资料和技术诀窍等甲方所有，甲方享有永久使用权。 </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甲方对乙方所授予许可的软件有向所属子企业使用的权利，且甲方不再向乙方支付任何费用。</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乙方提供给甲方的来自于或属于第三方的软件，甲方在使用时，应当依照乙方与第三方对该软件使用的约定依法使用。乙方应将该等约定的书面文件的复印件交甲方备案、存档。</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甲方在本合同项下的任何权利不因其发生收购、兼并、重组而发生变化。</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乙方在本项目中所使用或者所涉及的第三方系统，若出现技术、经济或法律上的纠纷，应由乙方全面承担并全权解决，甲方对此不承担任何责任。</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乙方提供给甲方的软件系统，甲方有权供其子企业推广使用，乙方为甲方二次开发的功能归甲方所有。</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保密义务</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乙方对甲方提供的所有业务技术资料、文档，有责任对第三方保密。</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任何一方在本合同履行的过程中，或为履行本合同的需要，首次从对方所获得的、有关对方或属于对方的商业秘密包括经营管理的方式方法与资料、系统技术资料、客户名单、企业战略及其他被认为是商业秘密的信息，未经对方同意，不得泄露给任何第三方。乙方不得以任何方式公开甲方的业务技术资料和文档，尤其是不得将冠有甲方名头的文件公开在互联网或报刊上。</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上述保密信息的获取方只能将该信息用于服务于本合同规定的项目，而且只能由参与项目开发的相应人员使用；没有必要接触该类信息的人员，不得接触。</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获取对方商业秘密的一方，应当采取适当有效的方式保护所获取的商业秘密；除非由对方的书面许可，该获取的商业秘密不得对外透露。</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所有保密信息在本合同的项目服务已经结束或保密信息所有方要求归还或销毁的情况下，包括复印件在内的所有现有保密信息根据所有方要求进行归还或销毁。</w:t>
      </w:r>
    </w:p>
    <w:p>
      <w:pPr>
        <w:numPr>
          <w:ilvl w:val="2"/>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甲方有权将乙方的技术服务方案以及乙方所提供的一切有关合同项目的计划、使用说明书等资料复印分发与本项目有关的各方。</w:t>
      </w:r>
    </w:p>
    <w:p>
      <w:pPr>
        <w:pStyle w:val="4"/>
        <w:numPr>
          <w:ilvl w:val="0"/>
          <w:numId w:val="7"/>
        </w:numPr>
        <w:spacing w:after="0"/>
        <w:rPr>
          <w:rFonts w:hint="eastAsia" w:cs="仿宋"/>
          <w:color w:val="000000"/>
          <w:highlight w:val="none"/>
        </w:rPr>
      </w:pPr>
      <w:bookmarkStart w:id="185" w:name="_Toc19659"/>
      <w:bookmarkStart w:id="186" w:name="_Toc22493"/>
      <w:r>
        <w:rPr>
          <w:rFonts w:hint="eastAsia" w:cs="仿宋"/>
          <w:color w:val="000000"/>
          <w:highlight w:val="none"/>
        </w:rPr>
        <w:t>其他</w:t>
      </w:r>
      <w:bookmarkEnd w:id="185"/>
      <w:bookmarkEnd w:id="186"/>
    </w:p>
    <w:p>
      <w:pPr>
        <w:pStyle w:val="38"/>
        <w:numPr>
          <w:ilvl w:val="0"/>
          <w:numId w:val="8"/>
        </w:numPr>
        <w:spacing w:line="360" w:lineRule="auto"/>
        <w:ind w:firstLineChars="0"/>
        <w:rPr>
          <w:rFonts w:hint="eastAsia" w:ascii="仿宋" w:hAnsi="仿宋" w:eastAsia="仿宋" w:cs="仿宋"/>
          <w:vanish/>
          <w:color w:val="000000"/>
          <w:sz w:val="24"/>
          <w:highlight w:val="none"/>
        </w:rPr>
      </w:pP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本合同自双方法定代表人或其授权代表签字并加盖法人印章之日起生效。</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本合同有效期从合同生效之日起到质量保证期满时止，如有索赔则完成理赔后止。</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本合同一式</w:t>
      </w:r>
      <w:r>
        <w:rPr>
          <w:rFonts w:hint="eastAsia" w:ascii="仿宋" w:hAnsi="仿宋" w:eastAsia="仿宋" w:cs="仿宋"/>
          <w:color w:val="000000"/>
          <w:sz w:val="24"/>
          <w:highlight w:val="none"/>
          <w:u w:val="single"/>
        </w:rPr>
        <w:t>肆</w:t>
      </w:r>
      <w:r>
        <w:rPr>
          <w:rFonts w:hint="eastAsia" w:ascii="仿宋" w:hAnsi="仿宋" w:eastAsia="仿宋" w:cs="仿宋"/>
          <w:color w:val="000000"/>
          <w:sz w:val="24"/>
          <w:highlight w:val="none"/>
        </w:rPr>
        <w:t>份，甲方执</w:t>
      </w:r>
      <w:r>
        <w:rPr>
          <w:rFonts w:hint="eastAsia" w:ascii="仿宋" w:hAnsi="仿宋" w:eastAsia="仿宋" w:cs="仿宋"/>
          <w:color w:val="000000"/>
          <w:sz w:val="24"/>
          <w:highlight w:val="none"/>
          <w:u w:val="single"/>
        </w:rPr>
        <w:t>叁</w:t>
      </w:r>
      <w:r>
        <w:rPr>
          <w:rFonts w:hint="eastAsia" w:ascii="仿宋" w:hAnsi="仿宋" w:eastAsia="仿宋" w:cs="仿宋"/>
          <w:color w:val="000000"/>
          <w:sz w:val="24"/>
          <w:highlight w:val="none"/>
        </w:rPr>
        <w:t>份，乙方执</w:t>
      </w:r>
      <w:r>
        <w:rPr>
          <w:rFonts w:hint="eastAsia" w:ascii="仿宋" w:hAnsi="仿宋" w:eastAsia="仿宋" w:cs="仿宋"/>
          <w:color w:val="000000"/>
          <w:sz w:val="24"/>
          <w:highlight w:val="none"/>
          <w:u w:val="single"/>
        </w:rPr>
        <w:t>壹</w:t>
      </w:r>
      <w:r>
        <w:rPr>
          <w:rFonts w:hint="eastAsia" w:ascii="仿宋" w:hAnsi="仿宋" w:eastAsia="仿宋" w:cs="仿宋"/>
          <w:color w:val="000000"/>
          <w:sz w:val="24"/>
          <w:highlight w:val="none"/>
        </w:rPr>
        <w:t>份。</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双方任何一方未取得另一方事先书面同意前，不得将本合同项下的部分或全部权利或义务转让给第三方。</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合同双方应指定两名授权代表，分别负责直接处理本合同的技术和商务问题。</w:t>
      </w:r>
    </w:p>
    <w:p>
      <w:pPr>
        <w:spacing w:line="360" w:lineRule="auto"/>
        <w:ind w:left="652"/>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乙方联系人：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联系方式：</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w:t>
      </w:r>
    </w:p>
    <w:p>
      <w:pPr>
        <w:spacing w:line="360" w:lineRule="auto"/>
        <w:ind w:left="652"/>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甲方联系人：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联系方式：</w:t>
      </w:r>
      <w:r>
        <w:rPr>
          <w:rFonts w:hint="eastAsia" w:ascii="仿宋" w:hAnsi="仿宋" w:eastAsia="仿宋" w:cs="仿宋"/>
          <w:color w:val="000000"/>
          <w:sz w:val="24"/>
          <w:highlight w:val="none"/>
          <w:u w:val="single"/>
        </w:rPr>
        <w:t xml:space="preserve"> </w:t>
      </w:r>
      <w:r>
        <w:rPr>
          <w:rFonts w:hint="eastAsia" w:ascii="仿宋" w:hAnsi="仿宋" w:eastAsia="仿宋" w:cs="仿宋"/>
          <w:sz w:val="24"/>
          <w:szCs w:val="24"/>
          <w:highlight w:val="none"/>
          <w:u w:val="single"/>
        </w:rPr>
        <w:t xml:space="preserve">             </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本合同未尽事宜，由甲乙双方通过友好协商解决。</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本合同文件包括：</w:t>
      </w:r>
    </w:p>
    <w:p>
      <w:pPr>
        <w:numPr>
          <w:ilvl w:val="0"/>
          <w:numId w:val="13"/>
        </w:numPr>
        <w:spacing w:line="360" w:lineRule="auto"/>
        <w:ind w:left="823" w:leftChars="2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竞谈文件及补充（如果有）；</w:t>
      </w:r>
    </w:p>
    <w:p>
      <w:pPr>
        <w:numPr>
          <w:ilvl w:val="0"/>
          <w:numId w:val="13"/>
        </w:numPr>
        <w:spacing w:line="360" w:lineRule="auto"/>
        <w:ind w:left="823" w:leftChars="2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中标人的竞谈响应文件及补充；</w:t>
      </w:r>
    </w:p>
    <w:p>
      <w:pPr>
        <w:numPr>
          <w:ilvl w:val="0"/>
          <w:numId w:val="13"/>
        </w:numPr>
        <w:spacing w:line="360" w:lineRule="auto"/>
        <w:ind w:left="823" w:leftChars="2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中标人的澄清文件；</w:t>
      </w:r>
    </w:p>
    <w:p>
      <w:pPr>
        <w:numPr>
          <w:ilvl w:val="0"/>
          <w:numId w:val="13"/>
        </w:numPr>
        <w:spacing w:line="360" w:lineRule="auto"/>
        <w:ind w:left="823" w:leftChars="2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本合同条款；</w:t>
      </w:r>
    </w:p>
    <w:p>
      <w:pPr>
        <w:numPr>
          <w:ilvl w:val="0"/>
          <w:numId w:val="13"/>
        </w:numPr>
        <w:spacing w:line="360" w:lineRule="auto"/>
        <w:ind w:left="823" w:leftChars="200" w:hanging="403"/>
        <w:rPr>
          <w:rFonts w:hint="eastAsia" w:ascii="仿宋" w:hAnsi="仿宋" w:eastAsia="仿宋" w:cs="仿宋"/>
          <w:color w:val="000000"/>
          <w:sz w:val="24"/>
          <w:highlight w:val="none"/>
        </w:rPr>
      </w:pPr>
      <w:r>
        <w:rPr>
          <w:rFonts w:hint="eastAsia" w:ascii="仿宋" w:hAnsi="仿宋" w:eastAsia="仿宋" w:cs="仿宋"/>
          <w:color w:val="000000"/>
          <w:sz w:val="24"/>
          <w:highlight w:val="none"/>
        </w:rPr>
        <w:t>其它补充资料、会议纪要及双方签署的其它书面文件等。</w:t>
      </w:r>
    </w:p>
    <w:p>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以上合同文件各部分之间是相互补充，说明的，前后文件有不一致的地方，以时间在后的为准；图纸和文字发生矛盾时，以文字说明为准；如标准不一致的，以要求较高的为准。</w:t>
      </w:r>
    </w:p>
    <w:p>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本合同所包括的附件，是本合同不可分割的一部分，具有同等的法律效力。</w:t>
      </w:r>
    </w:p>
    <w:p>
      <w:pPr>
        <w:numPr>
          <w:ilvl w:val="1"/>
          <w:numId w:val="8"/>
        </w:num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本合同双方的联系信息如下：</w:t>
      </w:r>
    </w:p>
    <w:tbl>
      <w:tblPr>
        <w:tblStyle w:val="21"/>
        <w:tblW w:w="8187" w:type="dxa"/>
        <w:tblInd w:w="0" w:type="dxa"/>
        <w:tblLayout w:type="autofit"/>
        <w:tblCellMar>
          <w:top w:w="0" w:type="dxa"/>
          <w:left w:w="108" w:type="dxa"/>
          <w:bottom w:w="0" w:type="dxa"/>
          <w:right w:w="108" w:type="dxa"/>
        </w:tblCellMar>
      </w:tblPr>
      <w:tblGrid>
        <w:gridCol w:w="1101"/>
        <w:gridCol w:w="3685"/>
        <w:gridCol w:w="3401"/>
      </w:tblGrid>
      <w:tr>
        <w:tblPrEx>
          <w:tblCellMar>
            <w:top w:w="0" w:type="dxa"/>
            <w:left w:w="108" w:type="dxa"/>
            <w:bottom w:w="0" w:type="dxa"/>
            <w:right w:w="108" w:type="dxa"/>
          </w:tblCellMar>
        </w:tblPrEx>
        <w:tc>
          <w:tcPr>
            <w:tcW w:w="11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甲方：</w:t>
            </w:r>
          </w:p>
        </w:tc>
        <w:tc>
          <w:tcPr>
            <w:tcW w:w="3685"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浙江中水数建科技有限公司</w:t>
            </w:r>
          </w:p>
        </w:tc>
        <w:tc>
          <w:tcPr>
            <w:tcW w:w="34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乙方：</w:t>
            </w:r>
          </w:p>
        </w:tc>
      </w:tr>
      <w:tr>
        <w:tblPrEx>
          <w:tblCellMar>
            <w:top w:w="0" w:type="dxa"/>
            <w:left w:w="108" w:type="dxa"/>
            <w:bottom w:w="0" w:type="dxa"/>
            <w:right w:w="108" w:type="dxa"/>
          </w:tblCellMar>
        </w:tblPrEx>
        <w:tc>
          <w:tcPr>
            <w:tcW w:w="11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地址：</w:t>
            </w:r>
          </w:p>
        </w:tc>
        <w:tc>
          <w:tcPr>
            <w:tcW w:w="3685"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color w:val="000000"/>
                <w:sz w:val="24"/>
                <w:highlight w:val="none"/>
              </w:rPr>
              <w:t>杭州市西湖区灯彩街321号</w:t>
            </w:r>
          </w:p>
        </w:tc>
        <w:tc>
          <w:tcPr>
            <w:tcW w:w="34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地址：</w:t>
            </w:r>
          </w:p>
        </w:tc>
      </w:tr>
      <w:tr>
        <w:tblPrEx>
          <w:tblCellMar>
            <w:top w:w="0" w:type="dxa"/>
            <w:left w:w="108" w:type="dxa"/>
            <w:bottom w:w="0" w:type="dxa"/>
            <w:right w:w="108" w:type="dxa"/>
          </w:tblCellMar>
        </w:tblPrEx>
        <w:tc>
          <w:tcPr>
            <w:tcW w:w="11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邮编：</w:t>
            </w:r>
          </w:p>
        </w:tc>
        <w:tc>
          <w:tcPr>
            <w:tcW w:w="3685"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300014</w:t>
            </w:r>
          </w:p>
        </w:tc>
        <w:tc>
          <w:tcPr>
            <w:tcW w:w="34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邮编：</w:t>
            </w:r>
          </w:p>
        </w:tc>
      </w:tr>
      <w:tr>
        <w:tblPrEx>
          <w:tblCellMar>
            <w:top w:w="0" w:type="dxa"/>
            <w:left w:w="108" w:type="dxa"/>
            <w:bottom w:w="0" w:type="dxa"/>
            <w:right w:w="108" w:type="dxa"/>
          </w:tblCellMar>
        </w:tblPrEx>
        <w:tc>
          <w:tcPr>
            <w:tcW w:w="11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电话：</w:t>
            </w:r>
          </w:p>
        </w:tc>
        <w:tc>
          <w:tcPr>
            <w:tcW w:w="3685" w:type="dxa"/>
          </w:tcPr>
          <w:p>
            <w:pPr>
              <w:snapToGrid w:val="0"/>
              <w:spacing w:line="360" w:lineRule="auto"/>
              <w:rPr>
                <w:rFonts w:hint="eastAsia" w:ascii="仿宋" w:hAnsi="仿宋" w:eastAsia="仿宋" w:cs="仿宋"/>
                <w:iCs/>
                <w:color w:val="000000"/>
                <w:sz w:val="24"/>
                <w:highlight w:val="none"/>
              </w:rPr>
            </w:pPr>
          </w:p>
        </w:tc>
        <w:tc>
          <w:tcPr>
            <w:tcW w:w="34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电话：</w:t>
            </w:r>
          </w:p>
        </w:tc>
      </w:tr>
      <w:tr>
        <w:tblPrEx>
          <w:tblCellMar>
            <w:top w:w="0" w:type="dxa"/>
            <w:left w:w="108" w:type="dxa"/>
            <w:bottom w:w="0" w:type="dxa"/>
            <w:right w:w="108" w:type="dxa"/>
          </w:tblCellMar>
        </w:tblPrEx>
        <w:tc>
          <w:tcPr>
            <w:tcW w:w="11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传真：</w:t>
            </w:r>
          </w:p>
        </w:tc>
        <w:tc>
          <w:tcPr>
            <w:tcW w:w="3685" w:type="dxa"/>
          </w:tcPr>
          <w:p>
            <w:pPr>
              <w:snapToGrid w:val="0"/>
              <w:spacing w:line="360" w:lineRule="auto"/>
              <w:rPr>
                <w:rFonts w:hint="eastAsia" w:ascii="仿宋" w:hAnsi="仿宋" w:eastAsia="仿宋" w:cs="仿宋"/>
                <w:iCs/>
                <w:color w:val="000000"/>
                <w:sz w:val="24"/>
                <w:highlight w:val="none"/>
              </w:rPr>
            </w:pPr>
          </w:p>
        </w:tc>
        <w:tc>
          <w:tcPr>
            <w:tcW w:w="34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传真：</w:t>
            </w:r>
          </w:p>
        </w:tc>
      </w:tr>
      <w:tr>
        <w:tblPrEx>
          <w:tblCellMar>
            <w:top w:w="0" w:type="dxa"/>
            <w:left w:w="108" w:type="dxa"/>
            <w:bottom w:w="0" w:type="dxa"/>
            <w:right w:w="108" w:type="dxa"/>
          </w:tblCellMar>
        </w:tblPrEx>
        <w:tc>
          <w:tcPr>
            <w:tcW w:w="11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开户行：</w:t>
            </w:r>
          </w:p>
        </w:tc>
        <w:tc>
          <w:tcPr>
            <w:tcW w:w="3685"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工商银行杭州厚仁路支行</w:t>
            </w:r>
          </w:p>
        </w:tc>
        <w:tc>
          <w:tcPr>
            <w:tcW w:w="34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开户行：</w:t>
            </w:r>
          </w:p>
        </w:tc>
      </w:tr>
      <w:tr>
        <w:tblPrEx>
          <w:tblCellMar>
            <w:top w:w="0" w:type="dxa"/>
            <w:left w:w="108" w:type="dxa"/>
            <w:bottom w:w="0" w:type="dxa"/>
            <w:right w:w="108" w:type="dxa"/>
          </w:tblCellMar>
        </w:tblPrEx>
        <w:tc>
          <w:tcPr>
            <w:tcW w:w="11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账号：</w:t>
            </w:r>
          </w:p>
        </w:tc>
        <w:tc>
          <w:tcPr>
            <w:tcW w:w="3685"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1202006209000060315</w:t>
            </w:r>
          </w:p>
        </w:tc>
        <w:tc>
          <w:tcPr>
            <w:tcW w:w="34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账号：</w:t>
            </w:r>
          </w:p>
        </w:tc>
      </w:tr>
      <w:tr>
        <w:tblPrEx>
          <w:tblCellMar>
            <w:top w:w="0" w:type="dxa"/>
            <w:left w:w="108" w:type="dxa"/>
            <w:bottom w:w="0" w:type="dxa"/>
            <w:right w:w="108" w:type="dxa"/>
          </w:tblCellMar>
        </w:tblPrEx>
        <w:trPr>
          <w:trHeight w:val="74" w:hRule="atLeast"/>
        </w:trPr>
        <w:tc>
          <w:tcPr>
            <w:tcW w:w="11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税号：</w:t>
            </w:r>
          </w:p>
        </w:tc>
        <w:tc>
          <w:tcPr>
            <w:tcW w:w="3685"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91330000779378102D</w:t>
            </w:r>
          </w:p>
        </w:tc>
        <w:tc>
          <w:tcPr>
            <w:tcW w:w="3401" w:type="dxa"/>
          </w:tcPr>
          <w:p>
            <w:pPr>
              <w:snapToGrid w:val="0"/>
              <w:spacing w:line="360" w:lineRule="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税号：</w:t>
            </w:r>
          </w:p>
        </w:tc>
      </w:tr>
    </w:tbl>
    <w:p>
      <w:pPr>
        <w:pStyle w:val="4"/>
        <w:numPr>
          <w:ilvl w:val="0"/>
          <w:numId w:val="7"/>
        </w:numPr>
        <w:spacing w:after="0"/>
        <w:rPr>
          <w:rFonts w:hint="eastAsia" w:cs="仿宋"/>
          <w:color w:val="000000"/>
          <w:highlight w:val="none"/>
        </w:rPr>
      </w:pPr>
      <w:bookmarkStart w:id="187" w:name="_Toc8934"/>
      <w:bookmarkStart w:id="188" w:name="_Toc25458"/>
      <w:r>
        <w:rPr>
          <w:rFonts w:hint="eastAsia" w:cs="仿宋"/>
          <w:color w:val="000000"/>
          <w:highlight w:val="none"/>
        </w:rPr>
        <w:t>附件</w:t>
      </w:r>
      <w:bookmarkEnd w:id="187"/>
      <w:bookmarkEnd w:id="188"/>
    </w:p>
    <w:p>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附件一：合同标的清单及分项报价表</w:t>
      </w:r>
    </w:p>
    <w:p>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附件二：保密协议</w:t>
      </w:r>
    </w:p>
    <w:p>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附件三：保廉合同</w:t>
      </w:r>
    </w:p>
    <w:p>
      <w:pPr>
        <w:spacing w:line="360" w:lineRule="auto"/>
        <w:rPr>
          <w:rFonts w:hint="eastAsia" w:ascii="仿宋" w:hAnsi="仿宋" w:eastAsia="仿宋" w:cs="仿宋"/>
          <w:bCs/>
          <w:color w:val="000000"/>
          <w:sz w:val="24"/>
          <w:highlight w:val="none"/>
        </w:rPr>
      </w:pPr>
    </w:p>
    <w:p>
      <w:pPr>
        <w:rPr>
          <w:rFonts w:hint="eastAsia" w:ascii="仿宋" w:hAnsi="仿宋" w:eastAsia="仿宋" w:cs="仿宋"/>
          <w:highlight w:val="none"/>
        </w:rPr>
      </w:pPr>
    </w:p>
    <w:p>
      <w:pPr>
        <w:spacing w:line="360" w:lineRule="auto"/>
        <w:ind w:left="599" w:hanging="599"/>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（本页无正文）</w:t>
      </w:r>
    </w:p>
    <w:p>
      <w:pPr>
        <w:spacing w:line="360" w:lineRule="auto"/>
        <w:ind w:left="599" w:hanging="599"/>
        <w:rPr>
          <w:rFonts w:hint="eastAsia" w:ascii="仿宋" w:hAnsi="仿宋" w:eastAsia="仿宋" w:cs="仿宋"/>
          <w:b/>
          <w:color w:val="000000"/>
          <w:sz w:val="24"/>
          <w:highlight w:val="none"/>
        </w:rPr>
      </w:pPr>
    </w:p>
    <w:p>
      <w:pPr>
        <w:spacing w:line="360" w:lineRule="auto"/>
        <w:ind w:left="599" w:hanging="599"/>
        <w:rPr>
          <w:rFonts w:hint="eastAsia" w:ascii="仿宋" w:hAnsi="仿宋" w:eastAsia="仿宋" w:cs="仿宋"/>
          <w:b/>
          <w:color w:val="000000"/>
          <w:sz w:val="24"/>
          <w:highlight w:val="none"/>
        </w:rPr>
      </w:pPr>
    </w:p>
    <w:p>
      <w:pPr>
        <w:spacing w:line="360" w:lineRule="auto"/>
        <w:ind w:left="599" w:hanging="599"/>
        <w:rPr>
          <w:rFonts w:hint="eastAsia" w:ascii="仿宋" w:hAnsi="仿宋" w:eastAsia="仿宋" w:cs="仿宋"/>
          <w:b/>
          <w:color w:val="000000"/>
          <w:sz w:val="24"/>
          <w:highlight w:val="none"/>
        </w:rPr>
      </w:pPr>
    </w:p>
    <w:p>
      <w:pPr>
        <w:spacing w:line="360" w:lineRule="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甲方： 浙江中水数建科技有限公司           乙方：</w:t>
      </w:r>
    </w:p>
    <w:p>
      <w:pPr>
        <w:spacing w:line="360" w:lineRule="auto"/>
        <w:rPr>
          <w:rFonts w:hint="eastAsia" w:ascii="仿宋" w:hAnsi="仿宋" w:eastAsia="仿宋" w:cs="仿宋"/>
          <w:b/>
          <w:color w:val="000000"/>
          <w:sz w:val="24"/>
          <w:highlight w:val="none"/>
        </w:rPr>
      </w:pPr>
    </w:p>
    <w:p>
      <w:pPr>
        <w:spacing w:line="360" w:lineRule="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(盖章)                                   (盖章)</w:t>
      </w:r>
    </w:p>
    <w:p>
      <w:pPr>
        <w:spacing w:line="360" w:lineRule="auto"/>
        <w:rPr>
          <w:rFonts w:hint="eastAsia" w:ascii="仿宋" w:hAnsi="仿宋" w:eastAsia="仿宋" w:cs="仿宋"/>
          <w:b/>
          <w:color w:val="000000"/>
          <w:sz w:val="24"/>
          <w:highlight w:val="none"/>
        </w:rPr>
      </w:pPr>
    </w:p>
    <w:p>
      <w:pPr>
        <w:spacing w:line="360" w:lineRule="auto"/>
        <w:rPr>
          <w:rFonts w:hint="eastAsia" w:ascii="仿宋" w:hAnsi="仿宋" w:eastAsia="仿宋" w:cs="仿宋"/>
          <w:b/>
          <w:color w:val="000000"/>
          <w:sz w:val="24"/>
          <w:highlight w:val="none"/>
        </w:rPr>
      </w:pPr>
    </w:p>
    <w:p>
      <w:pPr>
        <w:spacing w:line="360" w:lineRule="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法定代表人/委托代理人：                 法定代表人/委托代理人：</w:t>
      </w:r>
    </w:p>
    <w:p>
      <w:pPr>
        <w:spacing w:line="360" w:lineRule="auto"/>
        <w:rPr>
          <w:rFonts w:hint="eastAsia" w:ascii="仿宋" w:hAnsi="仿宋" w:eastAsia="仿宋" w:cs="仿宋"/>
          <w:b/>
          <w:color w:val="000000"/>
          <w:sz w:val="24"/>
          <w:highlight w:val="none"/>
        </w:rPr>
      </w:pPr>
    </w:p>
    <w:p>
      <w:pPr>
        <w:spacing w:line="360" w:lineRule="auto"/>
        <w:ind w:firstLine="482" w:firstLineChars="200"/>
        <w:rPr>
          <w:rFonts w:hint="eastAsia" w:ascii="仿宋" w:hAnsi="仿宋" w:eastAsia="仿宋" w:cs="仿宋"/>
          <w:b/>
          <w:color w:val="000000"/>
          <w:sz w:val="24"/>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color w:val="000000"/>
          <w:sz w:val="24"/>
          <w:highlight w:val="none"/>
        </w:rPr>
        <w:t>年  月  日                               年  月  日</w:t>
      </w:r>
    </w:p>
    <w:p>
      <w:pPr>
        <w:spacing w:line="360" w:lineRule="auto"/>
        <w:ind w:firstLine="482" w:firstLineChars="200"/>
        <w:rPr>
          <w:rFonts w:hint="eastAsia" w:ascii="仿宋" w:hAnsi="仿宋" w:eastAsia="仿宋" w:cs="仿宋"/>
          <w:highlight w:val="none"/>
        </w:rPr>
      </w:pPr>
      <w:r>
        <w:rPr>
          <w:rFonts w:hint="eastAsia" w:ascii="仿宋" w:hAnsi="仿宋" w:eastAsia="仿宋" w:cs="仿宋"/>
          <w:b/>
          <w:bCs/>
          <w:sz w:val="24"/>
          <w:highlight w:val="none"/>
        </w:rPr>
        <w:t>附件一：</w:t>
      </w:r>
      <w:r>
        <w:rPr>
          <w:rFonts w:hint="eastAsia" w:ascii="仿宋" w:hAnsi="仿宋" w:eastAsia="仿宋" w:cs="仿宋"/>
          <w:bCs/>
          <w:color w:val="000000"/>
          <w:sz w:val="24"/>
          <w:highlight w:val="none"/>
        </w:rPr>
        <w:t>合同标的清单及分项报价表</w:t>
      </w:r>
    </w:p>
    <w:p>
      <w:pPr>
        <w:spacing w:line="360" w:lineRule="auto"/>
        <w:ind w:firstLine="482" w:firstLineChars="200"/>
        <w:rPr>
          <w:rFonts w:hint="eastAsia" w:ascii="仿宋" w:hAnsi="仿宋" w:eastAsia="仿宋" w:cs="仿宋"/>
          <w:b/>
          <w:bCs/>
          <w:sz w:val="24"/>
          <w:highlight w:val="none"/>
        </w:rPr>
      </w:pPr>
    </w:p>
    <w:p>
      <w:pPr>
        <w:spacing w:line="360" w:lineRule="auto"/>
        <w:ind w:firstLine="482" w:firstLineChars="200"/>
        <w:rPr>
          <w:rFonts w:hint="eastAsia" w:ascii="仿宋" w:hAnsi="仿宋" w:eastAsia="仿宋" w:cs="仿宋"/>
          <w:b/>
          <w:bCs/>
          <w:sz w:val="24"/>
          <w:highlight w:val="none"/>
        </w:rPr>
      </w:pPr>
    </w:p>
    <w:p>
      <w:pPr>
        <w:spacing w:line="360" w:lineRule="auto"/>
        <w:rPr>
          <w:rFonts w:hint="eastAsia" w:ascii="仿宋" w:hAnsi="仿宋" w:eastAsia="仿宋" w:cs="仿宋"/>
          <w:b/>
          <w:bCs/>
          <w:sz w:val="24"/>
          <w:highlight w:val="none"/>
        </w:rPr>
      </w:pPr>
    </w:p>
    <w:p>
      <w:p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bCs/>
          <w:sz w:val="24"/>
          <w:highlight w:val="none"/>
        </w:rPr>
        <w:t>附件二：</w:t>
      </w: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保密协议</w:t>
      </w:r>
    </w:p>
    <w:p>
      <w:pPr>
        <w:rPr>
          <w:rFonts w:hint="eastAsia" w:ascii="仿宋" w:hAnsi="仿宋" w:eastAsia="仿宋" w:cs="仿宋"/>
          <w:sz w:val="24"/>
          <w:highlight w:val="none"/>
        </w:rPr>
      </w:pP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甲方：浙江中水数建科技有限公司</w:t>
      </w:r>
      <w:r>
        <w:rPr>
          <w:rFonts w:hint="eastAsia" w:ascii="仿宋" w:hAnsi="仿宋" w:eastAsia="仿宋" w:cs="仿宋"/>
          <w:sz w:val="24"/>
          <w:highlight w:val="none"/>
          <w:u w:val="single"/>
        </w:rPr>
        <w:t xml:space="preserve">                              </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鉴于乙方承担了甲方项目（以下简称“本项目”），甲、乙双方根据国家保密法律法规和甲方的保密规定，在遵循平等、自愿、公平和诚实信用的原则下，经协商一致，就保密事项达成如下协议：</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1．保密信息</w:t>
      </w:r>
    </w:p>
    <w:p>
      <w:pPr>
        <w:pStyle w:val="38"/>
        <w:numPr>
          <w:ilvl w:val="0"/>
          <w:numId w:val="14"/>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甲方提供给乙方的图片、文字、影像等资料，无论其是否标注有保密字样；</w:t>
      </w:r>
    </w:p>
    <w:p>
      <w:pPr>
        <w:pStyle w:val="38"/>
        <w:numPr>
          <w:ilvl w:val="0"/>
          <w:numId w:val="14"/>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甲乙双方洽谈的任何情况及签署的任何文件，以及合同价格、协议、备忘录、变更等包含的一切信息和合同项目进展情况；</w:t>
      </w:r>
    </w:p>
    <w:p>
      <w:pPr>
        <w:pStyle w:val="38"/>
        <w:numPr>
          <w:ilvl w:val="0"/>
          <w:numId w:val="14"/>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方在合作过程中了解和知悉的有关甲方和甲方掌握的国家秘密和商业秘密，包括但不限于技术秘密、市场秘密、财务秘密、管理秘密、知识产权和其他方面的秘密信息；</w:t>
      </w:r>
    </w:p>
    <w:p>
      <w:pPr>
        <w:pStyle w:val="38"/>
        <w:numPr>
          <w:ilvl w:val="0"/>
          <w:numId w:val="14"/>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乙方在服务过程中了解和掌握的甲方用户信息、视频会议信息、邮箱信息、业务系统信息、信息安全信息、相关系统和管理系统用户名和密码等信息；</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2．保密期限</w:t>
      </w:r>
    </w:p>
    <w:p>
      <w:pPr>
        <w:spacing w:line="360" w:lineRule="auto"/>
        <w:ind w:firstLine="480" w:firstLineChars="200"/>
        <w:rPr>
          <w:rFonts w:hint="eastAsia" w:ascii="仿宋" w:hAnsi="仿宋" w:eastAsia="仿宋" w:cs="仿宋"/>
          <w:b/>
          <w:bCs/>
          <w:sz w:val="24"/>
          <w:highlight w:val="none"/>
        </w:rPr>
      </w:pPr>
      <w:r>
        <w:rPr>
          <w:rFonts w:hint="eastAsia" w:ascii="仿宋" w:hAnsi="仿宋" w:eastAsia="仿宋" w:cs="仿宋"/>
          <w:sz w:val="24"/>
          <w:highlight w:val="none"/>
        </w:rPr>
        <w:t>自本保密协议生效之日起，乙方对保密信息负有无限期的保密义务。</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3．保密规定</w:t>
      </w:r>
    </w:p>
    <w:p>
      <w:pPr>
        <w:pStyle w:val="38"/>
        <w:numPr>
          <w:ilvl w:val="0"/>
          <w:numId w:val="15"/>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乙方应对本项目工作人员加强管理，进行保密教育，签订保密协议，对于甲方的保密信息，只能根据工作需要由乙方参加本项目的特定人员知悉，不得擅自扩大知悉范围。</w:t>
      </w:r>
    </w:p>
    <w:p>
      <w:pPr>
        <w:pStyle w:val="38"/>
        <w:numPr>
          <w:ilvl w:val="0"/>
          <w:numId w:val="15"/>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在本项目实施过程中，乙方应遵守甲方有关保守国家秘密和商业秘密的管理规定，服从甲方保密主管部门、信息化部门及其他相关部门的指导、监督和检查。</w:t>
      </w:r>
    </w:p>
    <w:p>
      <w:pPr>
        <w:pStyle w:val="38"/>
        <w:numPr>
          <w:ilvl w:val="0"/>
          <w:numId w:val="15"/>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乙方与甲方有关人员进行交流,如确需知悉、获取相关保密信息，应通过甲方信息化管理部按照规定的程序获取，不得直接向甲方业务部门直接索取。</w:t>
      </w:r>
    </w:p>
    <w:p>
      <w:pPr>
        <w:pStyle w:val="38"/>
        <w:numPr>
          <w:ilvl w:val="0"/>
          <w:numId w:val="15"/>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涉及甲方的保密信息，乙方只能在指定区域、指定范围察看，不得复印、拷贝和携带外出。</w:t>
      </w:r>
    </w:p>
    <w:p>
      <w:pPr>
        <w:pStyle w:val="38"/>
        <w:numPr>
          <w:ilvl w:val="0"/>
          <w:numId w:val="15"/>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甲方提供给乙方的保密信息，乙方仅能在本工程范围内使用，不得将资料用于其他目的，不得留存、复制。</w:t>
      </w:r>
    </w:p>
    <w:p>
      <w:pPr>
        <w:pStyle w:val="38"/>
        <w:numPr>
          <w:ilvl w:val="0"/>
          <w:numId w:val="15"/>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乙方应妥善保管甲方提供的各种介质的技术资料、文件、方案、操作手册和数据等，防止丢失或被盗。使用完毕后，应及时全部归还甲方，不得留存、复制。乙方在工作过程中，造成涉及甲方的技术资料、文件和数据等丢失或被盗，要及时通知甲方，并积极配合甲方和有关部门进行调查；</w:t>
      </w:r>
    </w:p>
    <w:p>
      <w:pPr>
        <w:pStyle w:val="38"/>
        <w:numPr>
          <w:ilvl w:val="0"/>
          <w:numId w:val="15"/>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乙方对工作的内容和执行情况应严格保密，不得泄露给第三方。在与工作过程中了解、知悉的甲方保密信息，在任何时候都不得向第三方透露；</w:t>
      </w:r>
    </w:p>
    <w:p>
      <w:pPr>
        <w:pStyle w:val="38"/>
        <w:numPr>
          <w:ilvl w:val="0"/>
          <w:numId w:val="15"/>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在项目过程中，甲方有权对乙方执行保密协议的情况进行监督和检查，对不符合保密协议条款的事项，乙方应及时纠正，不得拖延。</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4．违约责任</w:t>
      </w:r>
    </w:p>
    <w:p>
      <w:pPr>
        <w:pStyle w:val="38"/>
        <w:numPr>
          <w:ilvl w:val="0"/>
          <w:numId w:val="16"/>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由于乙方原因，在本项目合同期内，发生泄密事件（案件），给甲方或国家安全造成危害或经济损失的，由乙方赔偿经济损失，并按照国家有关规定追究责任。</w:t>
      </w:r>
    </w:p>
    <w:p>
      <w:pPr>
        <w:pStyle w:val="38"/>
        <w:numPr>
          <w:ilvl w:val="0"/>
          <w:numId w:val="16"/>
        </w:numPr>
        <w:spacing w:line="360" w:lineRule="auto"/>
        <w:ind w:firstLineChars="0"/>
        <w:rPr>
          <w:rFonts w:hint="eastAsia" w:ascii="仿宋" w:hAnsi="仿宋" w:eastAsia="仿宋" w:cs="仿宋"/>
          <w:sz w:val="24"/>
          <w:highlight w:val="none"/>
        </w:rPr>
      </w:pPr>
      <w:r>
        <w:rPr>
          <w:rFonts w:hint="eastAsia" w:ascii="仿宋" w:hAnsi="仿宋" w:eastAsia="仿宋" w:cs="仿宋"/>
          <w:sz w:val="24"/>
          <w:highlight w:val="none"/>
        </w:rPr>
        <w:t>由于乙方原因，在本项目合同期结束后，发生泄密事件（案件），给甲方或国家安全造成危害或经济损失的，由乙方赔偿经济损失，并按照国家有关规定追究责任。</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5．其他</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本保密协议自签署之日起生效。</w:t>
      </w:r>
    </w:p>
    <w:p>
      <w:pPr>
        <w:spacing w:line="360" w:lineRule="auto"/>
        <w:rPr>
          <w:rFonts w:hint="eastAsia" w:ascii="仿宋" w:hAnsi="仿宋" w:eastAsia="仿宋" w:cs="仿宋"/>
          <w:sz w:val="24"/>
          <w:highlight w:val="none"/>
        </w:rPr>
      </w:pPr>
    </w:p>
    <w:tbl>
      <w:tblPr>
        <w:tblStyle w:val="21"/>
        <w:tblW w:w="9959" w:type="dxa"/>
        <w:tblInd w:w="0" w:type="dxa"/>
        <w:tblLayout w:type="fixed"/>
        <w:tblCellMar>
          <w:top w:w="0" w:type="dxa"/>
          <w:left w:w="108" w:type="dxa"/>
          <w:bottom w:w="0" w:type="dxa"/>
          <w:right w:w="108" w:type="dxa"/>
        </w:tblCellMar>
      </w:tblPr>
      <w:tblGrid>
        <w:gridCol w:w="1328"/>
        <w:gridCol w:w="3364"/>
        <w:gridCol w:w="1947"/>
        <w:gridCol w:w="3320"/>
      </w:tblGrid>
      <w:tr>
        <w:tblPrEx>
          <w:tblCellMar>
            <w:top w:w="0" w:type="dxa"/>
            <w:left w:w="108" w:type="dxa"/>
            <w:bottom w:w="0" w:type="dxa"/>
            <w:right w:w="108" w:type="dxa"/>
          </w:tblCellMar>
        </w:tblPrEx>
        <w:trPr>
          <w:trHeight w:val="747" w:hRule="exact"/>
        </w:trPr>
        <w:tc>
          <w:tcPr>
            <w:tcW w:w="1328" w:type="dxa"/>
            <w:noWrap/>
            <w:vAlign w:val="center"/>
          </w:tcPr>
          <w:p>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甲方名称：（盖章）</w:t>
            </w:r>
          </w:p>
        </w:tc>
        <w:tc>
          <w:tcPr>
            <w:tcW w:w="3364" w:type="dxa"/>
            <w:noWrap/>
            <w:vAlign w:val="center"/>
          </w:tcPr>
          <w:p>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浙江中水数建科技有限公司</w:t>
            </w:r>
          </w:p>
        </w:tc>
        <w:tc>
          <w:tcPr>
            <w:tcW w:w="1947" w:type="dxa"/>
            <w:noWrap/>
            <w:vAlign w:val="center"/>
          </w:tcPr>
          <w:p>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乙方名称：（盖章）</w:t>
            </w:r>
          </w:p>
        </w:tc>
        <w:tc>
          <w:tcPr>
            <w:tcW w:w="3320" w:type="dxa"/>
            <w:noWrap/>
            <w:vAlign w:val="center"/>
          </w:tcPr>
          <w:p>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w:t>
            </w:r>
          </w:p>
        </w:tc>
      </w:tr>
      <w:tr>
        <w:tblPrEx>
          <w:tblCellMar>
            <w:top w:w="0" w:type="dxa"/>
            <w:left w:w="108" w:type="dxa"/>
            <w:bottom w:w="0" w:type="dxa"/>
            <w:right w:w="108" w:type="dxa"/>
          </w:tblCellMar>
        </w:tblPrEx>
        <w:trPr>
          <w:trHeight w:val="625" w:hRule="exact"/>
        </w:trPr>
        <w:tc>
          <w:tcPr>
            <w:tcW w:w="1328" w:type="dxa"/>
            <w:noWrap/>
            <w:vAlign w:val="center"/>
          </w:tcPr>
          <w:p>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法人或授权代表签字：</w:t>
            </w:r>
          </w:p>
        </w:tc>
        <w:tc>
          <w:tcPr>
            <w:tcW w:w="3364" w:type="dxa"/>
            <w:noWrap/>
            <w:vAlign w:val="center"/>
          </w:tcPr>
          <w:p>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w:t>
            </w:r>
          </w:p>
        </w:tc>
        <w:tc>
          <w:tcPr>
            <w:tcW w:w="1947" w:type="dxa"/>
            <w:noWrap/>
            <w:vAlign w:val="center"/>
          </w:tcPr>
          <w:p>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法人或授权代表签字：</w:t>
            </w:r>
          </w:p>
        </w:tc>
        <w:tc>
          <w:tcPr>
            <w:tcW w:w="3320" w:type="dxa"/>
            <w:noWrap/>
            <w:vAlign w:val="center"/>
          </w:tcPr>
          <w:p>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w:t>
            </w:r>
          </w:p>
        </w:tc>
      </w:tr>
      <w:tr>
        <w:tblPrEx>
          <w:tblCellMar>
            <w:top w:w="0" w:type="dxa"/>
            <w:left w:w="108" w:type="dxa"/>
            <w:bottom w:w="0" w:type="dxa"/>
            <w:right w:w="108" w:type="dxa"/>
          </w:tblCellMar>
        </w:tblPrEx>
        <w:trPr>
          <w:trHeight w:val="515" w:hRule="exact"/>
        </w:trPr>
        <w:tc>
          <w:tcPr>
            <w:tcW w:w="1328" w:type="dxa"/>
            <w:noWrap/>
            <w:vAlign w:val="center"/>
          </w:tcPr>
          <w:p>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日期：</w:t>
            </w:r>
          </w:p>
        </w:tc>
        <w:tc>
          <w:tcPr>
            <w:tcW w:w="3364" w:type="dxa"/>
            <w:noWrap/>
            <w:vAlign w:val="center"/>
          </w:tcPr>
          <w:p>
            <w:pPr>
              <w:widowControl/>
              <w:jc w:val="center"/>
              <w:rPr>
                <w:rFonts w:hint="eastAsia" w:ascii="仿宋" w:hAnsi="仿宋" w:eastAsia="仿宋" w:cs="仿宋"/>
                <w:color w:val="000000"/>
                <w:kern w:val="0"/>
                <w:sz w:val="24"/>
                <w:highlight w:val="none"/>
              </w:rPr>
            </w:pPr>
          </w:p>
        </w:tc>
        <w:tc>
          <w:tcPr>
            <w:tcW w:w="1947" w:type="dxa"/>
            <w:noWrap/>
            <w:vAlign w:val="center"/>
          </w:tcPr>
          <w:p>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日期：</w:t>
            </w:r>
          </w:p>
        </w:tc>
        <w:tc>
          <w:tcPr>
            <w:tcW w:w="3320" w:type="dxa"/>
            <w:noWrap/>
            <w:vAlign w:val="center"/>
          </w:tcPr>
          <w:p>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w:t>
            </w:r>
          </w:p>
        </w:tc>
      </w:tr>
    </w:tbl>
    <w:p>
      <w:pPr>
        <w:rPr>
          <w:rFonts w:hint="eastAsia" w:ascii="仿宋" w:hAnsi="仿宋" w:eastAsia="仿宋" w:cs="仿宋"/>
          <w:sz w:val="24"/>
          <w:highlight w:val="none"/>
        </w:rPr>
      </w:pPr>
    </w:p>
    <w:p>
      <w:pPr>
        <w:pageBreakBefore/>
        <w:rPr>
          <w:rFonts w:hint="eastAsia" w:ascii="仿宋" w:hAnsi="仿宋" w:eastAsia="仿宋" w:cs="仿宋"/>
          <w:b/>
          <w:sz w:val="24"/>
          <w:highlight w:val="none"/>
        </w:rPr>
      </w:pPr>
      <w:r>
        <w:rPr>
          <w:rFonts w:hint="eastAsia" w:ascii="仿宋" w:hAnsi="仿宋" w:eastAsia="仿宋" w:cs="仿宋"/>
          <w:b/>
          <w:sz w:val="24"/>
          <w:highlight w:val="none"/>
        </w:rPr>
        <w:t>附件三：</w:t>
      </w:r>
    </w:p>
    <w:p>
      <w:pPr>
        <w:pStyle w:val="11"/>
        <w:spacing w:line="600" w:lineRule="exact"/>
        <w:ind w:rightChars="0" w:firstLine="0" w:firstLineChars="0"/>
        <w:jc w:val="center"/>
        <w:rPr>
          <w:rFonts w:hint="eastAsia" w:ascii="仿宋" w:hAnsi="仿宋" w:eastAsia="仿宋" w:cs="仿宋"/>
          <w:sz w:val="44"/>
          <w:szCs w:val="44"/>
          <w:highlight w:val="none"/>
        </w:rPr>
      </w:pPr>
      <w:r>
        <w:rPr>
          <w:rFonts w:hint="eastAsia" w:ascii="仿宋" w:hAnsi="仿宋" w:eastAsia="仿宋" w:cs="仿宋"/>
          <w:sz w:val="44"/>
          <w:szCs w:val="44"/>
          <w:highlight w:val="none"/>
        </w:rPr>
        <w:t>保廉合同</w:t>
      </w:r>
    </w:p>
    <w:p>
      <w:pPr>
        <w:pStyle w:val="11"/>
        <w:spacing w:line="600" w:lineRule="exact"/>
        <w:ind w:right="640" w:rightChars="0" w:firstLine="9240" w:firstLineChars="2100"/>
        <w:rPr>
          <w:rFonts w:hint="eastAsia" w:ascii="仿宋" w:hAnsi="仿宋" w:eastAsia="仿宋" w:cs="仿宋"/>
          <w:sz w:val="44"/>
          <w:szCs w:val="44"/>
          <w:highlight w:val="none"/>
        </w:rPr>
      </w:pPr>
    </w:p>
    <w:p>
      <w:pPr>
        <w:pStyle w:val="11"/>
        <w:spacing w:line="600" w:lineRule="exact"/>
        <w:ind w:right="640" w:rightChars="0" w:firstLine="5880" w:firstLineChars="2100"/>
        <w:rPr>
          <w:rFonts w:hint="eastAsia" w:ascii="仿宋" w:hAnsi="仿宋" w:eastAsia="仿宋" w:cs="仿宋"/>
          <w:sz w:val="28"/>
          <w:szCs w:val="28"/>
          <w:highlight w:val="none"/>
        </w:rPr>
      </w:pPr>
      <w:r>
        <w:rPr>
          <w:rFonts w:hint="eastAsia" w:ascii="仿宋" w:hAnsi="仿宋" w:eastAsia="仿宋" w:cs="仿宋"/>
          <w:sz w:val="28"/>
          <w:szCs w:val="28"/>
          <w:highlight w:val="none"/>
        </w:rPr>
        <w:t>合同编号：</w:t>
      </w:r>
    </w:p>
    <w:p>
      <w:pPr>
        <w:pStyle w:val="11"/>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甲方名称：</w:t>
      </w:r>
    </w:p>
    <w:p>
      <w:pPr>
        <w:pStyle w:val="11"/>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乙方名称：</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为确保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工程分包、劳务分包、服务分包、设备租赁、设备物资采购合同（合同编号：       ）双方能够清正廉洁地履行合同，维护双方合法权益，经双方协商达成一致意见，签订如下协议：</w:t>
      </w:r>
    </w:p>
    <w:p>
      <w:pPr>
        <w:pStyle w:val="11"/>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第一条  双方的权利和义务</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（一）严格遵守党和国家有关法律法规及党风廉政建设和反腐败工作有关规定。</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（二）双方本着公开、公正、诚信的原则，自觉按合同办事，不得损害国家、集体利益以及个人合法权益。</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（三）双方要经常开展廉洁教育，加强对本单位工作人员的监督工作。</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（四）加强相互监督，对违反合同行为及时提醒并予以纠正，对违法违纪行为及时报告有关部门。</w:t>
      </w:r>
    </w:p>
    <w:p>
      <w:pPr>
        <w:pStyle w:val="11"/>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第二条  甲方义务</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（一）甲方工作人员不得索要或接受乙方提供的各种名义奖励、礼金、有价证券（卡）和物品等；不得在乙方单位报销应由个人支付的各种费用。</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（二）甲方工作人员不得借本人及家庭婚丧嫁娶、住房装修等时机，索取或接受乙方的礼品、礼金、有价证券等财务或劳务帮助。</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（三）甲方工作人员不得利用职权安排配偶、子女及其配偶、特定关系人到乙方单位工作。</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（四）甲方工作人员不得接受乙方提供的宴请、高消费娱乐活动及国内外观光旅游活动。</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（五）甲方工作人员不得为乙方多结工程款、劳务费、设备租赁款、设备物资款，并从中收受回扣，谋取私利。</w:t>
      </w:r>
    </w:p>
    <w:p>
      <w:pPr>
        <w:spacing w:line="600" w:lineRule="exac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六）甲方工作人员不得以支付工程、材料、劳务和设备物资款等虚假名义，通过乙方套取资金；甲方工作人员不得参与乙方任何股份或合伙购置施工设备等返租给甲方；甲方工作人员（或其特定关系人）不得购置施工设备租赁给乙方使用。</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（七）甲方工作人员不得因乙方拒绝合同外的不合理要求，而故意刁难乙方。</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（八）甲方工作人员不得利用验收、计量、结算、支付等职权，故意刁难乙方以谋取私利。</w:t>
      </w:r>
    </w:p>
    <w:p>
      <w:pPr>
        <w:pStyle w:val="11"/>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第三条  乙方义务</w:t>
      </w:r>
    </w:p>
    <w:p>
      <w:p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（一）乙方工作人员不得以任何理由向甲方工作人员赠送现金、礼品或有价证券（卡）等。</w:t>
      </w:r>
    </w:p>
    <w:p>
      <w:pPr>
        <w:pStyle w:val="11"/>
        <w:tabs>
          <w:tab w:val="left" w:pos="8848"/>
        </w:tabs>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（二）乙方工作人员不得为甲方工作人员报销应由甲方单位或个人支付的任何费用。</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（三）乙方工作人员不得邀请和资助甲方工作人员及家属外出旅游、参观、学习。</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（四）乙方工作人员不得利用黄、赌、贿等各种手段拉拢腐蚀甲方工作人员。</w:t>
      </w:r>
    </w:p>
    <w:p>
      <w:pPr>
        <w:pStyle w:val="11"/>
        <w:spacing w:line="600" w:lineRule="exact"/>
        <w:ind w:right="-2" w:rightChars="-1"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支付工程、劳务、材料和设备物资款等虚假名义，为甲方套取或转移资金提供方便；不得邀请甲方或甲方工作人员入股或合伙购置施工设备；不得租赁使用甲方工作人员（或其特定关系人）购置的施工设备。</w:t>
      </w:r>
    </w:p>
    <w:p>
      <w:pPr>
        <w:pStyle w:val="11"/>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第四条  违约责任</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一）甲方工作人员有违反本合同规定的行为，情节轻微的，由甲方上级纪检组织部门给予诫勉谈话；情节较重并给企业造成损失的，依据有关规定对责任人给予党纪政纪处分和经济处罚，并建议调离原岗位，不再从事相关工作；情节严重构成犯罪的，将责任人移交司法机关追究其刑事责任。</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乙方单位或个人有违反本合同约定的行为，按照违约金额的1-3倍给予处罚，如情节较重并给甲方造成损失的，乙方赔偿甲方直接经济损失，由甲方从乙方交纳的履约保证金（保证金）或工程款（货款）、设备租赁费中扣除；给甲方造成一定不良社会影响的，取消乙方合格分包（供应）商资格，两年内不得在甲方分包工程和设备租赁，三年内不得参与甲方所有设备物资采购活动。</w:t>
      </w:r>
    </w:p>
    <w:p>
      <w:pPr>
        <w:pStyle w:val="11"/>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第五条  双方约定如下事项：</w:t>
      </w:r>
    </w:p>
    <w:p>
      <w:pPr>
        <w:pStyle w:val="11"/>
        <w:tabs>
          <w:tab w:val="left" w:pos="8844"/>
        </w:tabs>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（一）本合同由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负责监督，举报电话：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负责本合同的验收。</w:t>
      </w:r>
    </w:p>
    <w:p>
      <w:pPr>
        <w:pStyle w:val="11"/>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（二）双方其他约定：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第六条  本合同作为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工程分包、劳务分包、设备租赁、设备物资采购合同的一部分，双方签字并盖章后生效，有效期至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11"/>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第七条  本合同共肆份，甲方执叁份，乙方执壹份。</w:t>
      </w:r>
    </w:p>
    <w:p>
      <w:pPr>
        <w:pStyle w:val="11"/>
        <w:spacing w:line="600" w:lineRule="exact"/>
        <w:ind w:rightChars="0" w:firstLine="560"/>
        <w:rPr>
          <w:rFonts w:hint="eastAsia" w:ascii="仿宋" w:hAnsi="仿宋" w:eastAsia="仿宋" w:cs="仿宋"/>
          <w:sz w:val="28"/>
          <w:szCs w:val="28"/>
          <w:highlight w:val="none"/>
        </w:rPr>
      </w:pPr>
    </w:p>
    <w:p>
      <w:pPr>
        <w:pStyle w:val="11"/>
        <w:spacing w:line="600" w:lineRule="exact"/>
        <w:ind w:rightChars="0" w:firstLine="560"/>
        <w:rPr>
          <w:rFonts w:hint="eastAsia" w:ascii="仿宋" w:hAnsi="仿宋" w:eastAsia="仿宋" w:cs="仿宋"/>
          <w:sz w:val="28"/>
          <w:szCs w:val="28"/>
          <w:highlight w:val="none"/>
        </w:rPr>
      </w:pPr>
    </w:p>
    <w:p>
      <w:pPr>
        <w:pStyle w:val="11"/>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甲方（盖章）:                  乙方（盖章）: </w:t>
      </w:r>
    </w:p>
    <w:p>
      <w:pPr>
        <w:pStyle w:val="11"/>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代表（签字）:                  代表（签字）:</w:t>
      </w:r>
    </w:p>
    <w:p>
      <w:pPr>
        <w:pStyle w:val="11"/>
        <w:spacing w:line="600" w:lineRule="exact"/>
        <w:ind w:rightChars="0" w:firstLine="910" w:firstLineChars="325"/>
        <w:rPr>
          <w:rFonts w:hint="eastAsia" w:ascii="仿宋" w:hAnsi="仿宋" w:eastAsia="仿宋" w:cs="仿宋"/>
          <w:sz w:val="28"/>
          <w:szCs w:val="28"/>
          <w:highlight w:val="none"/>
        </w:rPr>
      </w:pPr>
      <w:r>
        <w:rPr>
          <w:rFonts w:hint="eastAsia" w:ascii="仿宋" w:hAnsi="仿宋" w:eastAsia="仿宋" w:cs="仿宋"/>
          <w:sz w:val="28"/>
          <w:szCs w:val="28"/>
          <w:highlight w:val="none"/>
        </w:rPr>
        <w:t>年  月  日                   年  月  日</w:t>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bookmarkEnd w:id="159"/>
    <w:p>
      <w:pPr>
        <w:pStyle w:val="4"/>
        <w:numPr>
          <w:ilvl w:val="0"/>
          <w:numId w:val="17"/>
        </w:numPr>
        <w:rPr>
          <w:rFonts w:hint="eastAsia" w:cs="仿宋"/>
          <w:highlight w:val="none"/>
        </w:rPr>
      </w:pPr>
      <w:r>
        <w:rPr>
          <w:rFonts w:hint="eastAsia" w:cs="仿宋"/>
          <w:highlight w:val="none"/>
        </w:rPr>
        <w:t xml:space="preserve"> 响应文件格式</w:t>
      </w:r>
    </w:p>
    <w:p>
      <w:pPr>
        <w:rPr>
          <w:rFonts w:hint="eastAsia" w:ascii="仿宋" w:hAnsi="仿宋" w:eastAsia="仿宋" w:cs="仿宋"/>
          <w:highlight w:val="none"/>
        </w:rPr>
      </w:pPr>
    </w:p>
    <w:p>
      <w:pPr>
        <w:rPr>
          <w:rFonts w:hint="eastAsia" w:ascii="仿宋" w:hAnsi="仿宋" w:eastAsia="仿宋" w:cs="仿宋"/>
          <w:highlight w:val="none"/>
        </w:rPr>
      </w:pPr>
    </w:p>
    <w:p>
      <w:pPr>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u w:val="single"/>
        </w:rPr>
        <w:t xml:space="preserve">   （项目名称）    </w:t>
      </w:r>
      <w:r>
        <w:rPr>
          <w:rFonts w:hint="eastAsia" w:ascii="仿宋" w:hAnsi="仿宋" w:eastAsia="仿宋" w:cs="仿宋"/>
          <w:b/>
          <w:sz w:val="52"/>
          <w:szCs w:val="52"/>
          <w:highlight w:val="none"/>
        </w:rPr>
        <w:t>采购项目</w:t>
      </w: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s="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s="仿宋"/>
          <w:sz w:val="24"/>
          <w:szCs w:val="24"/>
          <w:highlight w:val="none"/>
        </w:rPr>
      </w:pPr>
    </w:p>
    <w:p>
      <w:pPr>
        <w:pStyle w:val="31"/>
        <w:spacing w:before="156" w:after="156"/>
        <w:ind w:firstLine="528"/>
        <w:rPr>
          <w:rFonts w:hint="eastAsia" w:ascii="仿宋" w:hAnsi="仿宋" w:eastAsia="仿宋" w:cs="仿宋"/>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s="仿宋"/>
          <w:sz w:val="24"/>
          <w:szCs w:val="24"/>
          <w:highlight w:val="none"/>
        </w:rPr>
      </w:pPr>
    </w:p>
    <w:p>
      <w:pPr>
        <w:jc w:val="center"/>
        <w:rPr>
          <w:rFonts w:hint="eastAsia" w:ascii="仿宋" w:hAnsi="仿宋" w:eastAsia="仿宋" w:cs="仿宋"/>
          <w:sz w:val="24"/>
          <w:szCs w:val="24"/>
          <w:highlight w:val="none"/>
        </w:rPr>
      </w:pPr>
      <w:r>
        <w:rPr>
          <w:rFonts w:hint="eastAsia" w:ascii="仿宋" w:hAnsi="仿宋" w:eastAsia="仿宋" w:cs="仿宋"/>
          <w:b/>
          <w:sz w:val="84"/>
          <w:highlight w:val="none"/>
        </w:rPr>
        <w:t>竞争性谈判响应文件</w:t>
      </w: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s="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s="仿宋"/>
          <w:sz w:val="24"/>
          <w:szCs w:val="24"/>
          <w:highlight w:val="none"/>
        </w:rPr>
      </w:pPr>
    </w:p>
    <w:p>
      <w:pPr>
        <w:pStyle w:val="31"/>
        <w:spacing w:before="156" w:after="156"/>
        <w:ind w:firstLine="528"/>
        <w:rPr>
          <w:rFonts w:hint="eastAsia" w:ascii="仿宋" w:hAnsi="仿宋" w:eastAsia="仿宋" w:cs="仿宋"/>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s="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s="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textAlignment w:val="bottom"/>
        <w:rPr>
          <w:rFonts w:hint="eastAsia" w:ascii="仿宋" w:hAnsi="仿宋" w:eastAsia="仿宋" w:cs="仿宋"/>
          <w:sz w:val="24"/>
          <w:szCs w:val="24"/>
          <w:highlight w:val="none"/>
        </w:rPr>
      </w:pPr>
    </w:p>
    <w:p>
      <w:pPr>
        <w:ind w:left="2" w:firstLine="536" w:firstLineChars="167"/>
        <w:rPr>
          <w:rFonts w:hint="eastAsia" w:ascii="仿宋" w:hAnsi="仿宋" w:eastAsia="仿宋" w:cs="仿宋"/>
          <w:b/>
          <w:bCs/>
          <w:sz w:val="32"/>
          <w:highlight w:val="none"/>
          <w:u w:val="single"/>
        </w:rPr>
      </w:pPr>
      <w:r>
        <w:rPr>
          <w:rFonts w:hint="eastAsia" w:ascii="仿宋" w:hAnsi="仿宋" w:eastAsia="仿宋" w:cs="仿宋"/>
          <w:b/>
          <w:bCs/>
          <w:sz w:val="32"/>
          <w:highlight w:val="none"/>
        </w:rPr>
        <w:t>响应人</w:t>
      </w:r>
      <w:r>
        <w:rPr>
          <w:rFonts w:hint="eastAsia" w:ascii="仿宋" w:hAnsi="仿宋" w:eastAsia="仿宋" w:cs="仿宋"/>
          <w:sz w:val="32"/>
          <w:highlight w:val="none"/>
        </w:rPr>
        <w:t>：</w:t>
      </w:r>
      <w:r>
        <w:rPr>
          <w:rFonts w:hint="eastAsia" w:ascii="仿宋" w:hAnsi="仿宋" w:eastAsia="仿宋" w:cs="仿宋"/>
          <w:sz w:val="32"/>
          <w:highlight w:val="none"/>
          <w:u w:val="single"/>
        </w:rPr>
        <w:t xml:space="preserve">                            </w:t>
      </w:r>
      <w:r>
        <w:rPr>
          <w:rFonts w:hint="eastAsia" w:ascii="仿宋" w:hAnsi="仿宋" w:eastAsia="仿宋" w:cs="仿宋"/>
          <w:b/>
          <w:bCs/>
          <w:sz w:val="32"/>
          <w:highlight w:val="none"/>
          <w:u w:val="single"/>
        </w:rPr>
        <w:t>（盖公章）</w:t>
      </w:r>
    </w:p>
    <w:p>
      <w:pPr>
        <w:ind w:left="2" w:firstLine="534" w:firstLineChars="167"/>
        <w:rPr>
          <w:rFonts w:hint="eastAsia" w:ascii="仿宋" w:hAnsi="仿宋" w:eastAsia="仿宋" w:cs="仿宋"/>
          <w:sz w:val="32"/>
          <w:highlight w:val="none"/>
          <w:u w:val="single"/>
        </w:rPr>
      </w:pPr>
    </w:p>
    <w:p>
      <w:pPr>
        <w:ind w:firstLine="536" w:firstLineChars="167"/>
        <w:rPr>
          <w:rFonts w:hint="eastAsia" w:ascii="仿宋" w:hAnsi="仿宋" w:eastAsia="仿宋" w:cs="仿宋"/>
          <w:b/>
          <w:bCs/>
          <w:sz w:val="32"/>
          <w:highlight w:val="none"/>
          <w:u w:val="single"/>
        </w:rPr>
      </w:pPr>
      <w:r>
        <w:rPr>
          <w:rFonts w:hint="eastAsia" w:ascii="仿宋" w:hAnsi="仿宋" w:eastAsia="仿宋" w:cs="仿宋"/>
          <w:b/>
          <w:bCs/>
          <w:sz w:val="32"/>
          <w:highlight w:val="none"/>
        </w:rPr>
        <w:t>法定代表人或其委托代理人：</w:t>
      </w:r>
      <w:r>
        <w:rPr>
          <w:rFonts w:hint="eastAsia" w:ascii="仿宋" w:hAnsi="仿宋" w:eastAsia="仿宋" w:cs="仿宋"/>
          <w:b/>
          <w:bCs/>
          <w:sz w:val="32"/>
          <w:highlight w:val="none"/>
          <w:u w:val="single"/>
        </w:rPr>
        <w:t xml:space="preserve">           （签字）</w:t>
      </w:r>
    </w:p>
    <w:p>
      <w:pPr>
        <w:jc w:val="center"/>
        <w:rPr>
          <w:rFonts w:hint="eastAsia" w:ascii="仿宋" w:hAnsi="仿宋" w:eastAsia="仿宋" w:cs="仿宋"/>
          <w:b/>
          <w:bCs/>
          <w:sz w:val="32"/>
          <w:highlight w:val="none"/>
        </w:rPr>
      </w:pPr>
      <w:r>
        <w:rPr>
          <w:rFonts w:hint="eastAsia" w:ascii="仿宋" w:hAnsi="仿宋" w:eastAsia="仿宋" w:cs="仿宋"/>
          <w:b/>
          <w:bCs/>
          <w:sz w:val="32"/>
          <w:highlight w:val="none"/>
        </w:rPr>
        <w:t xml:space="preserve">   </w:t>
      </w:r>
    </w:p>
    <w:p>
      <w:pPr>
        <w:jc w:val="center"/>
        <w:rPr>
          <w:rFonts w:hint="eastAsia" w:ascii="仿宋" w:hAnsi="仿宋" w:eastAsia="仿宋" w:cs="仿宋"/>
          <w:b/>
          <w:bCs/>
          <w:sz w:val="32"/>
          <w:highlight w:val="none"/>
        </w:rPr>
      </w:pPr>
    </w:p>
    <w:p>
      <w:pPr>
        <w:jc w:val="center"/>
        <w:rPr>
          <w:rFonts w:hint="eastAsia" w:ascii="仿宋" w:hAnsi="仿宋" w:eastAsia="仿宋" w:cs="仿宋"/>
          <w:b/>
          <w:bCs/>
          <w:sz w:val="32"/>
          <w:highlight w:val="none"/>
        </w:rPr>
      </w:pPr>
      <w:r>
        <w:rPr>
          <w:rFonts w:hint="eastAsia" w:ascii="仿宋" w:hAnsi="仿宋" w:eastAsia="仿宋" w:cs="仿宋"/>
          <w:b/>
          <w:bCs/>
          <w:sz w:val="32"/>
          <w:highlight w:val="none"/>
        </w:rPr>
        <w:t xml:space="preserve"> 年  月  日</w:t>
      </w:r>
    </w:p>
    <w:p>
      <w:pPr>
        <w:pStyle w:val="5"/>
        <w:numPr>
          <w:ilvl w:val="0"/>
          <w:numId w:val="18"/>
        </w:numPr>
        <w:rPr>
          <w:rFonts w:hint="eastAsia" w:cs="仿宋"/>
          <w:highlight w:val="none"/>
        </w:rPr>
      </w:pPr>
      <w:bookmarkStart w:id="189" w:name="_Toc58490814"/>
      <w:bookmarkStart w:id="190" w:name="_Toc433814131"/>
      <w:bookmarkStart w:id="191" w:name="附件一、竞争性谈判报价函"/>
      <w:r>
        <w:rPr>
          <w:rFonts w:hint="eastAsia" w:cs="仿宋"/>
          <w:highlight w:val="none"/>
        </w:rPr>
        <w:t>竞争性谈判报价函</w:t>
      </w:r>
      <w:bookmarkEnd w:id="189"/>
      <w:bookmarkEnd w:id="190"/>
    </w:p>
    <w:bookmarkEnd w:id="191"/>
    <w:p>
      <w:pPr>
        <w:spacing w:line="360" w:lineRule="auto"/>
        <w:jc w:val="center"/>
        <w:rPr>
          <w:rFonts w:hint="eastAsia" w:ascii="仿宋" w:hAnsi="仿宋" w:eastAsia="仿宋" w:cs="仿宋"/>
          <w:b/>
          <w:sz w:val="36"/>
          <w:szCs w:val="36"/>
          <w:highlight w:val="none"/>
        </w:rPr>
      </w:pPr>
    </w:p>
    <w:p>
      <w:pPr>
        <w:spacing w:line="36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竞争性谈判报价函</w:t>
      </w:r>
    </w:p>
    <w:p>
      <w:pPr>
        <w:spacing w:line="360" w:lineRule="auto"/>
        <w:jc w:val="center"/>
        <w:rPr>
          <w:rFonts w:hint="eastAsia" w:ascii="仿宋" w:hAnsi="仿宋" w:eastAsia="仿宋" w:cs="仿宋"/>
          <w:b/>
          <w:sz w:val="36"/>
          <w:szCs w:val="36"/>
          <w:highlight w:val="none"/>
        </w:rPr>
      </w:pPr>
    </w:p>
    <w:p>
      <w:pPr>
        <w:adjustRightInd w:val="0"/>
        <w:snapToGrid w:val="0"/>
        <w:spacing w:line="420" w:lineRule="exac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（采购人全称）    </w:t>
      </w:r>
      <w:r>
        <w:rPr>
          <w:rFonts w:hint="eastAsia" w:ascii="仿宋" w:hAnsi="仿宋" w:eastAsia="仿宋" w:cs="仿宋"/>
          <w:sz w:val="24"/>
          <w:highlight w:val="none"/>
        </w:rPr>
        <w:t>：</w:t>
      </w:r>
    </w:p>
    <w:p>
      <w:pPr>
        <w:adjustRightInd w:val="0"/>
        <w:snapToGrid w:val="0"/>
        <w:spacing w:line="42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1、我方已经仔细的研究了</w:t>
      </w:r>
      <w:r>
        <w:rPr>
          <w:rFonts w:hint="eastAsia" w:ascii="仿宋" w:hAnsi="仿宋" w:eastAsia="仿宋" w:cs="仿宋"/>
          <w:kern w:val="0"/>
          <w:sz w:val="24"/>
          <w:highlight w:val="none"/>
          <w:u w:val="single"/>
        </w:rPr>
        <w:t xml:space="preserve">      （项目名称）      </w:t>
      </w:r>
      <w:r>
        <w:rPr>
          <w:rFonts w:hint="eastAsia" w:ascii="仿宋" w:hAnsi="仿宋" w:eastAsia="仿宋" w:cs="仿宋"/>
          <w:kern w:val="0"/>
          <w:sz w:val="24"/>
          <w:highlight w:val="none"/>
        </w:rPr>
        <w:t>竞争性谈判文件的全部内容，包括但不限于合同文件、技术要求、附表、澄清、补遗以及竞争性谈判文件中所列的事项，并完全理解和同意放弃对这方面有不明及误解的权利。</w:t>
      </w:r>
    </w:p>
    <w:p>
      <w:pPr>
        <w:adjustRightInd w:val="0"/>
        <w:snapToGrid w:val="0"/>
        <w:spacing w:line="42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我方愿意以人民币（大写）</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元（￥</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）的总报价，税率</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%，交货地点为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，按合同约定提供货物和技术服务。</w:t>
      </w:r>
    </w:p>
    <w:p>
      <w:pPr>
        <w:adjustRightInd w:val="0"/>
        <w:snapToGrid w:val="0"/>
        <w:spacing w:line="42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2、如我方成交：</w:t>
      </w:r>
    </w:p>
    <w:p>
      <w:pPr>
        <w:adjustRightInd w:val="0"/>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（1）我方承诺在收到成交通知书后，在成交通知书规定的期限内与你方签订合同。</w:t>
      </w:r>
    </w:p>
    <w:p>
      <w:pPr>
        <w:adjustRightInd w:val="0"/>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（2）我方承诺按照竞争性谈判文件要求向你方递交履约担保。</w:t>
      </w:r>
    </w:p>
    <w:p>
      <w:pPr>
        <w:adjustRightInd w:val="0"/>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（3）我方承诺在合同约定的期限内供货。</w:t>
      </w:r>
    </w:p>
    <w:p>
      <w:pPr>
        <w:adjustRightInd w:val="0"/>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（4）保证忠实地执行双方所签的经济合同，并承担合同规定的责任义务。</w:t>
      </w:r>
    </w:p>
    <w:p>
      <w:pPr>
        <w:adjustRightInd w:val="0"/>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（5）我方愿意向贵方提供任何与该项竞争性谈判有关的数据、情况和技术数据。</w:t>
      </w:r>
    </w:p>
    <w:p>
      <w:pPr>
        <w:adjustRightInd w:val="0"/>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4、本报价自响应截止之日起</w:t>
      </w:r>
      <w:r>
        <w:rPr>
          <w:rFonts w:hint="eastAsia" w:ascii="仿宋" w:hAnsi="仿宋" w:eastAsia="仿宋" w:cs="仿宋"/>
          <w:b/>
          <w:sz w:val="24"/>
          <w:highlight w:val="none"/>
          <w:u w:val="single"/>
        </w:rPr>
        <w:t>**</w:t>
      </w:r>
      <w:r>
        <w:rPr>
          <w:rFonts w:hint="eastAsia" w:ascii="仿宋" w:hAnsi="仿宋" w:eastAsia="仿宋" w:cs="仿宋"/>
          <w:sz w:val="24"/>
          <w:highlight w:val="none"/>
        </w:rPr>
        <w:t>日内有效。</w:t>
      </w:r>
    </w:p>
    <w:p>
      <w:pPr>
        <w:adjustRightInd w:val="0"/>
        <w:snapToGrid w:val="0"/>
        <w:spacing w:line="420" w:lineRule="exact"/>
        <w:ind w:firstLine="480" w:firstLineChars="200"/>
        <w:rPr>
          <w:rFonts w:hint="eastAsia" w:ascii="仿宋" w:hAnsi="仿宋" w:eastAsia="仿宋" w:cs="仿宋"/>
          <w:sz w:val="24"/>
          <w:highlight w:val="none"/>
        </w:rPr>
      </w:pPr>
    </w:p>
    <w:p>
      <w:pPr>
        <w:spacing w:before="60" w:after="60" w:line="420" w:lineRule="exact"/>
        <w:ind w:firstLine="3960" w:firstLineChars="1650"/>
        <w:rPr>
          <w:rFonts w:hint="eastAsia" w:ascii="仿宋" w:hAnsi="仿宋" w:eastAsia="仿宋" w:cs="仿宋"/>
          <w:sz w:val="24"/>
          <w:highlight w:val="none"/>
        </w:rPr>
      </w:pPr>
      <w:r>
        <w:rPr>
          <w:rFonts w:hint="eastAsia" w:ascii="仿宋" w:hAnsi="仿宋" w:eastAsia="仿宋" w:cs="仿宋"/>
          <w:sz w:val="24"/>
          <w:highlight w:val="none"/>
        </w:rPr>
        <w:t>响应人（章）：</w:t>
      </w:r>
    </w:p>
    <w:p>
      <w:pPr>
        <w:spacing w:before="60" w:after="60" w:line="420" w:lineRule="exact"/>
        <w:ind w:firstLine="3960" w:firstLineChars="1650"/>
        <w:rPr>
          <w:rFonts w:hint="eastAsia" w:ascii="仿宋" w:hAnsi="仿宋" w:eastAsia="仿宋" w:cs="仿宋"/>
          <w:sz w:val="24"/>
          <w:highlight w:val="none"/>
        </w:rPr>
      </w:pPr>
      <w:r>
        <w:rPr>
          <w:rFonts w:hint="eastAsia" w:ascii="仿宋" w:hAnsi="仿宋" w:eastAsia="仿宋" w:cs="仿宋"/>
          <w:sz w:val="24"/>
          <w:highlight w:val="none"/>
        </w:rPr>
        <w:t>法定代表人或委托代理人（签字）：</w:t>
      </w:r>
    </w:p>
    <w:p>
      <w:pPr>
        <w:spacing w:before="60" w:after="60" w:line="420" w:lineRule="exact"/>
        <w:ind w:firstLine="3960" w:firstLineChars="1650"/>
        <w:rPr>
          <w:rFonts w:hint="eastAsia" w:ascii="仿宋" w:hAnsi="仿宋" w:eastAsia="仿宋" w:cs="仿宋"/>
          <w:sz w:val="24"/>
          <w:highlight w:val="none"/>
        </w:rPr>
      </w:pPr>
      <w:r>
        <w:rPr>
          <w:rFonts w:hint="eastAsia" w:ascii="仿宋" w:hAnsi="仿宋" w:eastAsia="仿宋" w:cs="仿宋"/>
          <w:sz w:val="24"/>
          <w:highlight w:val="none"/>
        </w:rPr>
        <w:t xml:space="preserve">联系人：                </w:t>
      </w:r>
    </w:p>
    <w:p>
      <w:pPr>
        <w:spacing w:before="60" w:after="60" w:line="420" w:lineRule="exact"/>
        <w:ind w:firstLine="3960" w:firstLineChars="1650"/>
        <w:rPr>
          <w:rFonts w:hint="eastAsia" w:ascii="仿宋" w:hAnsi="仿宋" w:eastAsia="仿宋" w:cs="仿宋"/>
          <w:sz w:val="24"/>
          <w:highlight w:val="none"/>
        </w:rPr>
      </w:pPr>
      <w:r>
        <w:rPr>
          <w:rFonts w:hint="eastAsia" w:ascii="仿宋" w:hAnsi="仿宋" w:eastAsia="仿宋" w:cs="仿宋"/>
          <w:sz w:val="24"/>
          <w:highlight w:val="none"/>
        </w:rPr>
        <w:t xml:space="preserve">电话：                  </w:t>
      </w:r>
    </w:p>
    <w:p>
      <w:pPr>
        <w:spacing w:before="60" w:after="60" w:line="420" w:lineRule="exact"/>
        <w:ind w:firstLine="3960" w:firstLineChars="1650"/>
        <w:rPr>
          <w:rFonts w:hint="eastAsia" w:ascii="仿宋" w:hAnsi="仿宋" w:eastAsia="仿宋" w:cs="仿宋"/>
          <w:sz w:val="24"/>
          <w:highlight w:val="none"/>
        </w:rPr>
      </w:pPr>
      <w:r>
        <w:rPr>
          <w:rFonts w:hint="eastAsia" w:ascii="仿宋" w:hAnsi="仿宋" w:eastAsia="仿宋" w:cs="仿宋"/>
          <w:sz w:val="24"/>
          <w:highlight w:val="none"/>
        </w:rPr>
        <w:t>传真：</w:t>
      </w:r>
    </w:p>
    <w:p>
      <w:pPr>
        <w:spacing w:before="60" w:after="60" w:line="420" w:lineRule="exact"/>
        <w:ind w:firstLine="3960" w:firstLineChars="1650"/>
        <w:rPr>
          <w:rFonts w:hint="eastAsia" w:ascii="仿宋" w:hAnsi="仿宋" w:eastAsia="仿宋" w:cs="仿宋"/>
          <w:sz w:val="24"/>
          <w:highlight w:val="none"/>
        </w:rPr>
      </w:pPr>
      <w:r>
        <w:rPr>
          <w:rFonts w:hint="eastAsia" w:ascii="仿宋" w:hAnsi="仿宋" w:eastAsia="仿宋" w:cs="仿宋"/>
          <w:sz w:val="24"/>
          <w:highlight w:val="none"/>
        </w:rPr>
        <w:t xml:space="preserve">开户银行：              </w:t>
      </w:r>
    </w:p>
    <w:p>
      <w:pPr>
        <w:spacing w:before="60" w:after="60" w:line="420" w:lineRule="exact"/>
        <w:ind w:firstLine="3960" w:firstLineChars="1650"/>
        <w:rPr>
          <w:rFonts w:hint="eastAsia" w:ascii="仿宋" w:hAnsi="仿宋" w:eastAsia="仿宋" w:cs="仿宋"/>
          <w:sz w:val="24"/>
          <w:highlight w:val="none"/>
        </w:rPr>
      </w:pPr>
      <w:r>
        <w:rPr>
          <w:rFonts w:hint="eastAsia" w:ascii="仿宋" w:hAnsi="仿宋" w:eastAsia="仿宋" w:cs="仿宋"/>
          <w:sz w:val="24"/>
          <w:highlight w:val="none"/>
        </w:rPr>
        <w:t>帐号：</w:t>
      </w:r>
    </w:p>
    <w:p>
      <w:pPr>
        <w:spacing w:line="500" w:lineRule="exact"/>
        <w:rPr>
          <w:rFonts w:hint="eastAsia" w:ascii="仿宋" w:hAnsi="仿宋" w:eastAsia="仿宋" w:cs="仿宋"/>
          <w:b/>
          <w:sz w:val="44"/>
          <w:szCs w:val="44"/>
          <w:highlight w:val="none"/>
        </w:rPr>
      </w:pPr>
      <w:r>
        <w:rPr>
          <w:rFonts w:hint="eastAsia" w:ascii="仿宋" w:hAnsi="仿宋" w:eastAsia="仿宋" w:cs="仿宋"/>
          <w:sz w:val="24"/>
          <w:highlight w:val="none"/>
        </w:rPr>
        <w:t xml:space="preserve">                                 年  月   日</w:t>
      </w:r>
    </w:p>
    <w:p>
      <w:pPr>
        <w:pStyle w:val="5"/>
        <w:numPr>
          <w:ilvl w:val="0"/>
          <w:numId w:val="18"/>
        </w:numPr>
        <w:rPr>
          <w:rFonts w:hint="eastAsia" w:cs="仿宋"/>
          <w:highlight w:val="none"/>
        </w:rPr>
      </w:pPr>
      <w:bookmarkStart w:id="192" w:name="_Toc433814133"/>
      <w:bookmarkStart w:id="193" w:name="附件二、法定代表人授权委托书"/>
      <w:r>
        <w:rPr>
          <w:rFonts w:hint="eastAsia" w:cs="仿宋"/>
          <w:highlight w:val="none"/>
        </w:rPr>
        <w:br w:type="page"/>
      </w:r>
      <w:bookmarkStart w:id="194" w:name="_Toc58490815"/>
      <w:r>
        <w:rPr>
          <w:rFonts w:hint="eastAsia" w:cs="仿宋"/>
          <w:highlight w:val="none"/>
        </w:rPr>
        <w:t>法定代表人授权委托书</w:t>
      </w:r>
      <w:bookmarkEnd w:id="192"/>
      <w:bookmarkEnd w:id="194"/>
      <w:r>
        <w:rPr>
          <w:rFonts w:hint="eastAsia" w:cs="仿宋"/>
          <w:highlight w:val="none"/>
        </w:rPr>
        <w:t xml:space="preserve"> </w:t>
      </w:r>
    </w:p>
    <w:bookmarkEnd w:id="193"/>
    <w:p>
      <w:pPr>
        <w:spacing w:after="156" w:afterLines="50" w:line="36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法定代表人授权委托书</w:t>
      </w:r>
    </w:p>
    <w:p>
      <w:pPr>
        <w:widowControl/>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（姓名）  </w:t>
      </w: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（响应人）      </w:t>
      </w:r>
      <w:r>
        <w:rPr>
          <w:rFonts w:hint="eastAsia" w:ascii="仿宋" w:hAnsi="仿宋" w:eastAsia="仿宋" w:cs="仿宋"/>
          <w:sz w:val="24"/>
          <w:highlight w:val="none"/>
        </w:rPr>
        <w:t>的法定代表人，现委托</w:t>
      </w:r>
      <w:r>
        <w:rPr>
          <w:rFonts w:hint="eastAsia" w:ascii="仿宋" w:hAnsi="仿宋" w:eastAsia="仿宋" w:cs="仿宋"/>
          <w:sz w:val="24"/>
          <w:highlight w:val="none"/>
          <w:u w:val="single"/>
        </w:rPr>
        <w:t xml:space="preserve">  （姓名） </w:t>
      </w:r>
      <w:r>
        <w:rPr>
          <w:rFonts w:hint="eastAsia" w:ascii="仿宋" w:hAnsi="仿宋" w:eastAsia="仿宋" w:cs="仿宋"/>
          <w:sz w:val="24"/>
          <w:highlight w:val="none"/>
        </w:rPr>
        <w:t>为我方代理人。代理人根据授权，以我方名义签署、澄清、说明、补正、递交、撤回、修改</w:t>
      </w: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竞争性谈判响应文件，其提交的竞争性谈判响应文件内容我方均承认，法律后果由我方承担。</w:t>
      </w:r>
    </w:p>
    <w:p>
      <w:pPr>
        <w:widowControl/>
        <w:adjustRightInd w:val="0"/>
        <w:snapToGrid w:val="0"/>
        <w:spacing w:line="360" w:lineRule="auto"/>
        <w:ind w:firstLine="480" w:firstLineChars="200"/>
        <w:jc w:val="left"/>
        <w:rPr>
          <w:rFonts w:hint="eastAsia" w:ascii="仿宋" w:hAnsi="仿宋" w:eastAsia="仿宋" w:cs="仿宋"/>
          <w:sz w:val="24"/>
          <w:highlight w:val="none"/>
        </w:rPr>
      </w:pPr>
    </w:p>
    <w:p>
      <w:pPr>
        <w:widowControl/>
        <w:adjustRightInd w:val="0"/>
        <w:snapToGrid w:val="0"/>
        <w:spacing w:line="360" w:lineRule="auto"/>
        <w:ind w:firstLine="480" w:firstLineChars="200"/>
        <w:jc w:val="left"/>
        <w:rPr>
          <w:rFonts w:hint="eastAsia" w:ascii="仿宋" w:hAnsi="仿宋" w:eastAsia="仿宋" w:cs="仿宋"/>
          <w:sz w:val="24"/>
          <w:highlight w:val="none"/>
        </w:rPr>
      </w:pPr>
    </w:p>
    <w:p>
      <w:pPr>
        <w:widowControl/>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委托期限：</w:t>
      </w:r>
      <w:r>
        <w:rPr>
          <w:rFonts w:hint="eastAsia" w:ascii="仿宋" w:hAnsi="仿宋" w:eastAsia="仿宋" w:cs="仿宋"/>
          <w:sz w:val="24"/>
          <w:highlight w:val="none"/>
          <w:u w:val="single"/>
        </w:rPr>
        <w:t xml:space="preserve">     年  月  日——    年  月  日 </w:t>
      </w:r>
      <w:r>
        <w:rPr>
          <w:rFonts w:hint="eastAsia" w:ascii="仿宋" w:hAnsi="仿宋" w:eastAsia="仿宋" w:cs="仿宋"/>
          <w:sz w:val="24"/>
          <w:highlight w:val="none"/>
        </w:rPr>
        <w:t>。</w:t>
      </w:r>
    </w:p>
    <w:p>
      <w:pPr>
        <w:widowControl/>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代理人无转委托权。</w:t>
      </w:r>
    </w:p>
    <w:p>
      <w:pPr>
        <w:widowControl/>
        <w:spacing w:line="360" w:lineRule="auto"/>
        <w:jc w:val="left"/>
        <w:rPr>
          <w:rFonts w:hint="eastAsia" w:ascii="仿宋" w:hAnsi="仿宋" w:eastAsia="仿宋" w:cs="仿宋"/>
          <w:sz w:val="24"/>
          <w:highlight w:val="none"/>
        </w:rPr>
      </w:pPr>
    </w:p>
    <w:p>
      <w:pPr>
        <w:adjustRightInd w:val="0"/>
        <w:snapToGrid w:val="0"/>
        <w:spacing w:after="156" w:line="360" w:lineRule="auto"/>
        <w:ind w:firstLine="540" w:firstLineChars="225"/>
        <w:rPr>
          <w:rFonts w:hint="eastAsia" w:ascii="仿宋" w:hAnsi="仿宋" w:eastAsia="仿宋" w:cs="仿宋"/>
          <w:sz w:val="24"/>
          <w:highlight w:val="none"/>
          <w:u w:val="single"/>
        </w:rPr>
      </w:pPr>
      <w:r>
        <w:rPr>
          <w:rFonts w:hint="eastAsia" w:ascii="仿宋" w:hAnsi="仿宋" w:eastAsia="仿宋" w:cs="仿宋"/>
          <w:sz w:val="24"/>
          <w:highlight w:val="none"/>
        </w:rPr>
        <w:t>响应人（盖单位章）：</w:t>
      </w:r>
      <w:r>
        <w:rPr>
          <w:rFonts w:hint="eastAsia" w:ascii="仿宋" w:hAnsi="仿宋" w:eastAsia="仿宋" w:cs="仿宋"/>
          <w:sz w:val="24"/>
          <w:highlight w:val="none"/>
          <w:u w:val="single"/>
        </w:rPr>
        <w:t xml:space="preserve">                               </w:t>
      </w:r>
    </w:p>
    <w:p>
      <w:pPr>
        <w:adjustRightInd w:val="0"/>
        <w:snapToGrid w:val="0"/>
        <w:spacing w:line="360" w:lineRule="auto"/>
        <w:ind w:firstLine="540" w:firstLineChars="225"/>
        <w:rPr>
          <w:rFonts w:hint="eastAsia" w:ascii="仿宋" w:hAnsi="仿宋" w:eastAsia="仿宋" w:cs="仿宋"/>
          <w:sz w:val="24"/>
          <w:highlight w:val="none"/>
        </w:rPr>
      </w:pPr>
    </w:p>
    <w:p>
      <w:pPr>
        <w:adjustRightInd w:val="0"/>
        <w:snapToGrid w:val="0"/>
        <w:spacing w:line="360" w:lineRule="auto"/>
        <w:ind w:firstLine="540" w:firstLineChars="225"/>
        <w:rPr>
          <w:rFonts w:hint="eastAsia" w:ascii="仿宋" w:hAnsi="仿宋" w:eastAsia="仿宋" w:cs="仿宋"/>
          <w:sz w:val="24"/>
          <w:highlight w:val="none"/>
          <w:u w:val="single"/>
        </w:rPr>
      </w:pPr>
      <w:r>
        <w:rPr>
          <w:rFonts w:hint="eastAsia" w:ascii="仿宋" w:hAnsi="仿宋" w:eastAsia="仿宋" w:cs="仿宋"/>
          <w:sz w:val="24"/>
          <w:highlight w:val="none"/>
        </w:rPr>
        <w:t>法定代表人（签字）：</w:t>
      </w:r>
      <w:r>
        <w:rPr>
          <w:rFonts w:hint="eastAsia" w:ascii="仿宋" w:hAnsi="仿宋" w:eastAsia="仿宋" w:cs="仿宋"/>
          <w:sz w:val="24"/>
          <w:highlight w:val="none"/>
          <w:u w:val="single"/>
        </w:rPr>
        <w:t xml:space="preserve">                               </w:t>
      </w:r>
    </w:p>
    <w:p>
      <w:pPr>
        <w:adjustRightInd w:val="0"/>
        <w:snapToGrid w:val="0"/>
        <w:spacing w:line="360" w:lineRule="auto"/>
        <w:ind w:firstLine="540" w:firstLineChars="225"/>
        <w:rPr>
          <w:rFonts w:hint="eastAsia" w:ascii="仿宋" w:hAnsi="仿宋" w:eastAsia="仿宋" w:cs="仿宋"/>
          <w:sz w:val="24"/>
          <w:highlight w:val="none"/>
        </w:rPr>
      </w:pPr>
    </w:p>
    <w:p>
      <w:pPr>
        <w:adjustRightInd w:val="0"/>
        <w:snapToGrid w:val="0"/>
        <w:spacing w:line="360" w:lineRule="auto"/>
        <w:ind w:firstLine="540" w:firstLineChars="225"/>
        <w:rPr>
          <w:rFonts w:hint="eastAsia" w:ascii="仿宋" w:hAnsi="仿宋" w:eastAsia="仿宋" w:cs="仿宋"/>
          <w:sz w:val="24"/>
          <w:highlight w:val="non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pPr>
        <w:adjustRightInd w:val="0"/>
        <w:snapToGrid w:val="0"/>
        <w:spacing w:line="360" w:lineRule="auto"/>
        <w:ind w:firstLine="540" w:firstLineChars="225"/>
        <w:rPr>
          <w:rFonts w:hint="eastAsia" w:ascii="仿宋" w:hAnsi="仿宋" w:eastAsia="仿宋" w:cs="仿宋"/>
          <w:sz w:val="24"/>
          <w:highlight w:val="none"/>
        </w:rPr>
      </w:pPr>
    </w:p>
    <w:p>
      <w:pPr>
        <w:adjustRightInd w:val="0"/>
        <w:snapToGrid w:val="0"/>
        <w:spacing w:line="360" w:lineRule="auto"/>
        <w:ind w:firstLine="540" w:firstLineChars="225"/>
        <w:rPr>
          <w:rFonts w:hint="eastAsia" w:ascii="仿宋" w:hAnsi="仿宋" w:eastAsia="仿宋" w:cs="仿宋"/>
          <w:sz w:val="24"/>
          <w:highlight w:val="none"/>
        </w:rPr>
      </w:pPr>
      <w:r>
        <w:rPr>
          <w:rFonts w:hint="eastAsia" w:ascii="仿宋" w:hAnsi="仿宋" w:eastAsia="仿宋" w:cs="仿宋"/>
          <w:sz w:val="24"/>
          <w:highlight w:val="none"/>
        </w:rPr>
        <w:t>委托代理人（签字）：</w:t>
      </w:r>
      <w:r>
        <w:rPr>
          <w:rFonts w:hint="eastAsia" w:ascii="仿宋" w:hAnsi="仿宋" w:eastAsia="仿宋" w:cs="仿宋"/>
          <w:sz w:val="24"/>
          <w:highlight w:val="none"/>
          <w:u w:val="single"/>
        </w:rPr>
        <w:t xml:space="preserve">                               </w:t>
      </w:r>
    </w:p>
    <w:p>
      <w:pPr>
        <w:adjustRightInd w:val="0"/>
        <w:snapToGrid w:val="0"/>
        <w:spacing w:line="360" w:lineRule="auto"/>
        <w:ind w:firstLine="540" w:firstLineChars="225"/>
        <w:rPr>
          <w:rFonts w:hint="eastAsia" w:ascii="仿宋" w:hAnsi="仿宋" w:eastAsia="仿宋" w:cs="仿宋"/>
          <w:sz w:val="24"/>
          <w:highlight w:val="none"/>
        </w:rPr>
      </w:pPr>
    </w:p>
    <w:p>
      <w:pPr>
        <w:widowControl/>
        <w:spacing w:after="156" w:line="360" w:lineRule="auto"/>
        <w:ind w:firstLine="540" w:firstLineChars="225"/>
        <w:jc w:val="left"/>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pPr>
        <w:widowControl/>
        <w:spacing w:after="156" w:line="360" w:lineRule="auto"/>
        <w:ind w:firstLine="540" w:firstLineChars="225"/>
        <w:jc w:val="left"/>
        <w:rPr>
          <w:rFonts w:hint="eastAsia" w:ascii="仿宋" w:hAnsi="仿宋" w:eastAsia="仿宋" w:cs="仿宋"/>
          <w:sz w:val="24"/>
          <w:highlight w:val="none"/>
          <w:u w:val="single"/>
        </w:rPr>
      </w:pPr>
    </w:p>
    <w:p>
      <w:pPr>
        <w:widowControl/>
        <w:spacing w:after="156" w:line="360" w:lineRule="auto"/>
        <w:ind w:firstLine="540" w:firstLineChars="225"/>
        <w:jc w:val="left"/>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widowControl/>
        <w:spacing w:after="156" w:line="360" w:lineRule="auto"/>
        <w:ind w:firstLine="540" w:firstLineChars="225"/>
        <w:jc w:val="left"/>
        <w:rPr>
          <w:rFonts w:hint="eastAsia" w:ascii="仿宋" w:hAnsi="仿宋" w:eastAsia="仿宋" w:cs="仿宋"/>
          <w:sz w:val="24"/>
          <w:highlight w:val="none"/>
        </w:rPr>
      </w:pPr>
    </w:p>
    <w:p>
      <w:pPr>
        <w:widowControl/>
        <w:spacing w:after="156" w:line="360" w:lineRule="auto"/>
        <w:ind w:firstLine="540" w:firstLineChars="225"/>
        <w:jc w:val="left"/>
        <w:rPr>
          <w:rFonts w:hint="eastAsia" w:ascii="仿宋" w:hAnsi="仿宋" w:eastAsia="仿宋" w:cs="仿宋"/>
          <w:sz w:val="24"/>
          <w:highlight w:val="none"/>
        </w:rPr>
      </w:pPr>
      <w:r>
        <w:rPr>
          <w:rFonts w:hint="eastAsia" w:ascii="仿宋" w:hAnsi="仿宋" w:eastAsia="仿宋" w:cs="仿宋"/>
          <w:sz w:val="24"/>
          <w:highlight w:val="none"/>
        </w:rPr>
        <w:t>附身份证复印件</w:t>
      </w:r>
    </w:p>
    <w:p>
      <w:pPr>
        <w:pStyle w:val="5"/>
        <w:numPr>
          <w:ilvl w:val="0"/>
          <w:numId w:val="18"/>
        </w:numPr>
        <w:rPr>
          <w:rFonts w:hint="eastAsia" w:cs="仿宋"/>
          <w:highlight w:val="none"/>
        </w:rPr>
      </w:pPr>
      <w:r>
        <w:rPr>
          <w:rFonts w:hint="eastAsia" w:cs="仿宋"/>
          <w:highlight w:val="none"/>
        </w:rPr>
        <w:br w:type="page"/>
      </w:r>
      <w:bookmarkStart w:id="195" w:name="_Toc58490817"/>
      <w:r>
        <w:rPr>
          <w:rFonts w:hint="eastAsia" w:cs="仿宋"/>
          <w:highlight w:val="none"/>
        </w:rPr>
        <w:t>报价表</w:t>
      </w:r>
      <w:bookmarkEnd w:id="195"/>
    </w:p>
    <w:p>
      <w:pPr>
        <w:spacing w:line="360" w:lineRule="auto"/>
        <w:rPr>
          <w:rFonts w:hint="eastAsia" w:ascii="仿宋" w:hAnsi="仿宋" w:eastAsia="仿宋" w:cs="仿宋"/>
          <w:highlight w:val="none"/>
        </w:rPr>
      </w:pPr>
      <w:bookmarkStart w:id="196" w:name="报价汇总表"/>
    </w:p>
    <w:p>
      <w:pPr>
        <w:autoSpaceDE w:val="0"/>
        <w:autoSpaceDN w:val="0"/>
        <w:adjustRightInd w:val="0"/>
        <w:snapToGrid w:val="0"/>
        <w:spacing w:before="156" w:beforeLines="50" w:after="249" w:afterLines="80" w:line="240" w:lineRule="atLeast"/>
        <w:rPr>
          <w:rFonts w:hint="eastAsia" w:ascii="仿宋" w:hAnsi="仿宋" w:eastAsia="仿宋" w:cs="仿宋"/>
          <w:b/>
          <w:kern w:val="0"/>
          <w:sz w:val="24"/>
          <w:highlight w:val="none"/>
        </w:rPr>
      </w:pPr>
      <w:r>
        <w:rPr>
          <w:rFonts w:hint="eastAsia" w:ascii="仿宋" w:hAnsi="仿宋" w:eastAsia="仿宋" w:cs="仿宋"/>
          <w:b/>
          <w:kern w:val="0"/>
          <w:sz w:val="24"/>
          <w:highlight w:val="none"/>
        </w:rPr>
        <w:t>1.报价总表</w:t>
      </w:r>
    </w:p>
    <w:p>
      <w:pPr>
        <w:spacing w:line="360" w:lineRule="auto"/>
        <w:ind w:left="99" w:leftChars="47"/>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报价汇总表</w:t>
      </w:r>
    </w:p>
    <w:tbl>
      <w:tblPr>
        <w:tblStyle w:val="2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088"/>
        <w:gridCol w:w="2400"/>
        <w:gridCol w:w="2214"/>
        <w:gridCol w:w="177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47" w:hRule="atLeast"/>
          <w:tblHeader/>
          <w:jc w:val="center"/>
        </w:trPr>
        <w:tc>
          <w:tcPr>
            <w:tcW w:w="108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400"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设备名称</w:t>
            </w:r>
          </w:p>
        </w:tc>
        <w:tc>
          <w:tcPr>
            <w:tcW w:w="2214"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总价（万元）</w:t>
            </w:r>
          </w:p>
        </w:tc>
        <w:tc>
          <w:tcPr>
            <w:tcW w:w="1775"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税率</w:t>
            </w:r>
          </w:p>
        </w:tc>
        <w:tc>
          <w:tcPr>
            <w:tcW w:w="1775"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90" w:hRule="atLeast"/>
          <w:jc w:val="center"/>
        </w:trPr>
        <w:tc>
          <w:tcPr>
            <w:tcW w:w="108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400" w:type="dxa"/>
            <w:vAlign w:val="center"/>
          </w:tcPr>
          <w:p>
            <w:pPr>
              <w:widowControl/>
              <w:jc w:val="center"/>
              <w:textAlignment w:val="center"/>
              <w:rPr>
                <w:rFonts w:hint="eastAsia" w:ascii="仿宋" w:hAnsi="仿宋" w:eastAsia="仿宋" w:cs="仿宋"/>
                <w:sz w:val="24"/>
                <w:highlight w:val="none"/>
              </w:rPr>
            </w:pPr>
            <w:r>
              <w:rPr>
                <w:rFonts w:hint="eastAsia" w:ascii="仿宋" w:hAnsi="仿宋" w:eastAsia="仿宋" w:cs="仿宋"/>
                <w:bCs/>
                <w:sz w:val="24"/>
                <w:highlight w:val="none"/>
              </w:rPr>
              <w:t>景宁县残疾人康养中心二期-智慧培智校园项目技术服务</w:t>
            </w:r>
          </w:p>
        </w:tc>
        <w:tc>
          <w:tcPr>
            <w:tcW w:w="2214" w:type="dxa"/>
            <w:vAlign w:val="center"/>
          </w:tcPr>
          <w:p>
            <w:pPr>
              <w:spacing w:line="360" w:lineRule="auto"/>
              <w:jc w:val="center"/>
              <w:rPr>
                <w:rFonts w:hint="eastAsia" w:ascii="仿宋" w:hAnsi="仿宋" w:eastAsia="仿宋" w:cs="仿宋"/>
                <w:sz w:val="24"/>
                <w:highlight w:val="none"/>
              </w:rPr>
            </w:pPr>
          </w:p>
        </w:tc>
        <w:tc>
          <w:tcPr>
            <w:tcW w:w="1775" w:type="dxa"/>
            <w:vAlign w:val="center"/>
          </w:tcPr>
          <w:p>
            <w:pPr>
              <w:spacing w:line="360" w:lineRule="auto"/>
              <w:jc w:val="center"/>
              <w:rPr>
                <w:rFonts w:hint="eastAsia" w:ascii="仿宋" w:hAnsi="仿宋" w:eastAsia="仿宋" w:cs="仿宋"/>
                <w:sz w:val="24"/>
                <w:highlight w:val="none"/>
              </w:rPr>
            </w:pPr>
          </w:p>
        </w:tc>
        <w:tc>
          <w:tcPr>
            <w:tcW w:w="1775" w:type="dxa"/>
            <w:vAlign w:val="center"/>
          </w:tcPr>
          <w:p>
            <w:pPr>
              <w:spacing w:line="360" w:lineRule="auto"/>
              <w:jc w:val="center"/>
              <w:rPr>
                <w:rFonts w:hint="eastAsia" w:ascii="仿宋" w:hAnsi="仿宋" w:eastAsia="仿宋" w:cs="仿宋"/>
                <w:sz w:val="24"/>
                <w:highlight w:val="none"/>
              </w:rPr>
            </w:pPr>
          </w:p>
        </w:tc>
      </w:tr>
    </w:tbl>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注：1、报价包括开发费、测试费、人员培训费、一年售后服务费、管理费、税金等相关费用。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2、付款方式：按询价文件要求。如能提供更优惠的付款条件，报价人应另详细说明。</w:t>
      </w:r>
    </w:p>
    <w:p>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3、报价人需要说明的其他事项：</w:t>
      </w:r>
    </w:p>
    <w:p>
      <w:pPr>
        <w:pStyle w:val="31"/>
        <w:spacing w:before="156" w:after="156" w:line="240" w:lineRule="auto"/>
        <w:ind w:firstLine="528"/>
        <w:rPr>
          <w:rFonts w:hint="eastAsia" w:ascii="仿宋" w:hAnsi="仿宋" w:eastAsia="仿宋" w:cs="仿宋"/>
          <w:highlight w:val="none"/>
        </w:rPr>
      </w:pPr>
      <w:r>
        <w:rPr>
          <w:rFonts w:hint="eastAsia" w:ascii="仿宋" w:hAnsi="仿宋" w:eastAsia="仿宋" w:cs="仿宋"/>
          <w:highlight w:val="none"/>
        </w:rPr>
        <w:t>①本次报价为综合单价，项目相关所产生的费用都包含在内；</w:t>
      </w:r>
    </w:p>
    <w:p>
      <w:pPr>
        <w:pStyle w:val="31"/>
        <w:spacing w:before="156" w:after="156" w:line="240" w:lineRule="auto"/>
        <w:ind w:firstLine="528"/>
        <w:rPr>
          <w:rFonts w:hint="eastAsia" w:ascii="仿宋" w:hAnsi="仿宋" w:eastAsia="仿宋" w:cs="仿宋"/>
          <w:highlight w:val="none"/>
        </w:rPr>
      </w:pPr>
      <w:r>
        <w:rPr>
          <w:rFonts w:hint="eastAsia" w:ascii="仿宋" w:hAnsi="仿宋" w:eastAsia="仿宋" w:cs="仿宋"/>
          <w:highlight w:val="none"/>
        </w:rPr>
        <w:t>②附件3为报价人报价清单，需填写技术参数及相应价格；</w:t>
      </w:r>
    </w:p>
    <w:p>
      <w:pPr>
        <w:spacing w:line="360" w:lineRule="auto"/>
        <w:ind w:left="99" w:leftChars="47"/>
        <w:rPr>
          <w:rFonts w:hint="eastAsia" w:ascii="仿宋" w:hAnsi="仿宋" w:eastAsia="仿宋" w:cs="仿宋"/>
          <w:b/>
          <w:sz w:val="30"/>
          <w:szCs w:val="30"/>
          <w:highlight w:val="none"/>
        </w:rPr>
      </w:pP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p>
    <w:p>
      <w:pPr>
        <w:spacing w:line="360" w:lineRule="auto"/>
        <w:ind w:firstLine="3840" w:firstLineChars="1600"/>
        <w:rPr>
          <w:rFonts w:hint="eastAsia" w:ascii="仿宋" w:hAnsi="仿宋" w:eastAsia="仿宋" w:cs="仿宋"/>
          <w:sz w:val="24"/>
          <w:highlight w:val="none"/>
        </w:rPr>
      </w:pPr>
      <w:r>
        <w:rPr>
          <w:rFonts w:hint="eastAsia" w:ascii="仿宋" w:hAnsi="仿宋" w:eastAsia="仿宋" w:cs="仿宋"/>
          <w:sz w:val="24"/>
          <w:highlight w:val="none"/>
        </w:rPr>
        <w:t xml:space="preserve">报价人名称：（盖章）    </w:t>
      </w:r>
    </w:p>
    <w:p>
      <w:pPr>
        <w:spacing w:line="360" w:lineRule="auto"/>
        <w:ind w:firstLine="4080" w:firstLineChars="1700"/>
        <w:rPr>
          <w:rFonts w:hint="eastAsia" w:ascii="仿宋" w:hAnsi="仿宋" w:eastAsia="仿宋" w:cs="仿宋"/>
          <w:sz w:val="24"/>
          <w:highlight w:val="none"/>
        </w:rPr>
      </w:pPr>
    </w:p>
    <w:p>
      <w:pPr>
        <w:spacing w:line="360" w:lineRule="auto"/>
        <w:ind w:firstLine="3840" w:firstLineChars="1600"/>
        <w:rPr>
          <w:rFonts w:hint="eastAsia" w:ascii="仿宋" w:hAnsi="仿宋" w:eastAsia="仿宋" w:cs="仿宋"/>
          <w:sz w:val="24"/>
          <w:highlight w:val="none"/>
        </w:rPr>
      </w:pPr>
      <w:r>
        <w:rPr>
          <w:rFonts w:hint="eastAsia" w:ascii="仿宋" w:hAnsi="仿宋" w:eastAsia="仿宋" w:cs="仿宋"/>
          <w:sz w:val="24"/>
          <w:highlight w:val="none"/>
        </w:rPr>
        <w:t>报价人代表签字：</w:t>
      </w:r>
    </w:p>
    <w:p>
      <w:pPr>
        <w:autoSpaceDE w:val="0"/>
        <w:autoSpaceDN w:val="0"/>
        <w:adjustRightInd w:val="0"/>
        <w:snapToGrid w:val="0"/>
        <w:spacing w:before="156" w:beforeLines="50" w:after="249" w:afterLines="80" w:line="240" w:lineRule="atLeast"/>
        <w:ind w:left="393" w:hanging="393" w:hangingChars="163"/>
        <w:rPr>
          <w:rFonts w:hint="eastAsia" w:ascii="仿宋" w:hAnsi="仿宋" w:eastAsia="仿宋" w:cs="仿宋"/>
          <w:b/>
          <w:kern w:val="0"/>
          <w:sz w:val="24"/>
          <w:szCs w:val="24"/>
          <w:highlight w:val="none"/>
        </w:rPr>
      </w:pPr>
    </w:p>
    <w:p>
      <w:pPr>
        <w:autoSpaceDE w:val="0"/>
        <w:autoSpaceDN w:val="0"/>
        <w:adjustRightInd w:val="0"/>
        <w:snapToGrid w:val="0"/>
        <w:spacing w:before="156" w:beforeLines="50" w:after="249" w:afterLines="80" w:line="240" w:lineRule="atLeast"/>
        <w:ind w:left="393" w:hanging="393" w:hangingChars="163"/>
        <w:rPr>
          <w:rFonts w:hint="eastAsia" w:ascii="仿宋" w:hAnsi="仿宋" w:eastAsia="仿宋" w:cs="仿宋"/>
          <w:b/>
          <w:kern w:val="0"/>
          <w:sz w:val="24"/>
          <w:szCs w:val="24"/>
          <w:highlight w:val="none"/>
        </w:rPr>
        <w:sectPr>
          <w:pgSz w:w="11906" w:h="16838"/>
          <w:pgMar w:top="1440" w:right="1588" w:bottom="1440" w:left="1588" w:header="851" w:footer="992" w:gutter="0"/>
          <w:cols w:space="720" w:num="1"/>
          <w:docGrid w:type="lines" w:linePitch="312" w:charSpace="0"/>
        </w:sectPr>
      </w:pPr>
    </w:p>
    <w:p>
      <w:pPr>
        <w:numPr>
          <w:ilvl w:val="0"/>
          <w:numId w:val="19"/>
        </w:numPr>
        <w:jc w:val="left"/>
        <w:rPr>
          <w:rFonts w:hint="eastAsia" w:ascii="仿宋" w:hAnsi="仿宋" w:eastAsia="仿宋" w:cs="仿宋"/>
          <w:kern w:val="0"/>
          <w:sz w:val="24"/>
          <w:highlight w:val="none"/>
          <w:u w:val="single"/>
        </w:rPr>
      </w:pPr>
      <w:r>
        <w:rPr>
          <w:rFonts w:hint="eastAsia" w:ascii="仿宋" w:hAnsi="仿宋" w:eastAsia="仿宋" w:cs="仿宋"/>
          <w:b/>
          <w:kern w:val="0"/>
          <w:sz w:val="24"/>
          <w:highlight w:val="none"/>
        </w:rPr>
        <w:t xml:space="preserve">分项报价一栏表1    </w:t>
      </w:r>
    </w:p>
    <w:p>
      <w:pPr>
        <w:jc w:val="left"/>
        <w:rPr>
          <w:rFonts w:hint="eastAsia" w:ascii="仿宋" w:hAnsi="仿宋" w:eastAsia="仿宋" w:cs="仿宋"/>
          <w:kern w:val="0"/>
          <w:sz w:val="24"/>
          <w:highlight w:val="none"/>
          <w:u w:val="single"/>
        </w:rPr>
      </w:pPr>
      <w:r>
        <w:rPr>
          <w:rFonts w:hint="eastAsia" w:ascii="仿宋" w:hAnsi="仿宋" w:eastAsia="仿宋" w:cs="仿宋"/>
          <w:b/>
          <w:kern w:val="0"/>
          <w:sz w:val="24"/>
          <w:highlight w:val="none"/>
        </w:rPr>
        <w:t xml:space="preserve">                                  </w:t>
      </w:r>
      <w:r>
        <w:rPr>
          <w:rFonts w:hint="eastAsia" w:ascii="仿宋" w:hAnsi="仿宋" w:eastAsia="仿宋" w:cs="仿宋"/>
          <w:kern w:val="0"/>
          <w:sz w:val="24"/>
          <w:highlight w:val="none"/>
        </w:rPr>
        <w:t>单位：</w:t>
      </w:r>
      <w:r>
        <w:rPr>
          <w:rFonts w:hint="eastAsia" w:ascii="仿宋" w:hAnsi="仿宋" w:eastAsia="仿宋" w:cs="仿宋"/>
          <w:kern w:val="0"/>
          <w:sz w:val="24"/>
          <w:highlight w:val="none"/>
          <w:u w:val="single"/>
        </w:rPr>
        <w:t xml:space="preserve"> 元</w:t>
      </w:r>
    </w:p>
    <w:p>
      <w:pPr>
        <w:jc w:val="left"/>
        <w:rPr>
          <w:rFonts w:hint="eastAsia" w:ascii="仿宋" w:hAnsi="仿宋" w:eastAsia="仿宋" w:cs="仿宋"/>
          <w:kern w:val="0"/>
          <w:sz w:val="24"/>
          <w:highlight w:val="none"/>
          <w:u w:val="single"/>
        </w:rPr>
      </w:pPr>
    </w:p>
    <w:tbl>
      <w:tblPr>
        <w:tblStyle w:val="22"/>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560"/>
        <w:gridCol w:w="1240"/>
        <w:gridCol w:w="734"/>
        <w:gridCol w:w="1053"/>
        <w:gridCol w:w="2072"/>
        <w:gridCol w:w="102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79" w:type="dxa"/>
            <w:vAlign w:val="center"/>
          </w:tcPr>
          <w:p>
            <w:pPr>
              <w:widowControl/>
              <w:snapToGrid w:val="0"/>
              <w:jc w:val="center"/>
              <w:textAlignment w:val="center"/>
              <w:rPr>
                <w:rFonts w:hint="eastAsia" w:ascii="等线" w:hAnsi="等线" w:eastAsia="等线" w:cs="等线"/>
                <w:b/>
                <w:bCs/>
                <w:sz w:val="18"/>
                <w:szCs w:val="18"/>
                <w:highlight w:val="none"/>
              </w:rPr>
            </w:pPr>
            <w:r>
              <w:rPr>
                <w:rFonts w:hint="eastAsia" w:ascii="等线" w:hAnsi="等线" w:eastAsia="等线" w:cs="等线"/>
                <w:b/>
                <w:bCs/>
                <w:kern w:val="0"/>
                <w:sz w:val="18"/>
                <w:szCs w:val="18"/>
                <w:highlight w:val="none"/>
                <w:lang w:bidi="ar"/>
              </w:rPr>
              <w:t>序号</w:t>
            </w:r>
          </w:p>
        </w:tc>
        <w:tc>
          <w:tcPr>
            <w:tcW w:w="1560" w:type="dxa"/>
            <w:vAlign w:val="center"/>
          </w:tcPr>
          <w:p>
            <w:pPr>
              <w:widowControl/>
              <w:snapToGrid w:val="0"/>
              <w:jc w:val="center"/>
              <w:textAlignment w:val="center"/>
              <w:rPr>
                <w:rFonts w:hint="eastAsia" w:ascii="等线" w:hAnsi="等线" w:eastAsia="等线" w:cs="等线"/>
                <w:b/>
                <w:bCs/>
                <w:sz w:val="18"/>
                <w:szCs w:val="18"/>
                <w:highlight w:val="none"/>
              </w:rPr>
            </w:pPr>
            <w:r>
              <w:rPr>
                <w:rFonts w:hint="eastAsia" w:ascii="等线" w:hAnsi="等线" w:eastAsia="等线" w:cs="等线"/>
                <w:b/>
                <w:bCs/>
                <w:kern w:val="0"/>
                <w:sz w:val="18"/>
                <w:szCs w:val="18"/>
                <w:highlight w:val="none"/>
                <w:lang w:bidi="ar"/>
              </w:rPr>
              <w:t>设备名称</w:t>
            </w:r>
          </w:p>
        </w:tc>
        <w:tc>
          <w:tcPr>
            <w:tcW w:w="1240" w:type="dxa"/>
            <w:vAlign w:val="center"/>
          </w:tcPr>
          <w:p>
            <w:pPr>
              <w:widowControl/>
              <w:snapToGrid w:val="0"/>
              <w:jc w:val="center"/>
              <w:textAlignment w:val="center"/>
              <w:rPr>
                <w:rFonts w:hint="eastAsia" w:ascii="等线" w:hAnsi="等线" w:eastAsia="等线" w:cs="等线"/>
                <w:b/>
                <w:bCs/>
                <w:sz w:val="18"/>
                <w:szCs w:val="18"/>
                <w:highlight w:val="none"/>
              </w:rPr>
            </w:pPr>
            <w:r>
              <w:rPr>
                <w:rFonts w:hint="eastAsia" w:ascii="等线" w:hAnsi="等线" w:eastAsia="等线" w:cs="等线"/>
                <w:b/>
                <w:bCs/>
                <w:kern w:val="0"/>
                <w:sz w:val="18"/>
                <w:szCs w:val="18"/>
                <w:highlight w:val="none"/>
                <w:lang w:bidi="ar"/>
              </w:rPr>
              <w:t>单位</w:t>
            </w:r>
          </w:p>
        </w:tc>
        <w:tc>
          <w:tcPr>
            <w:tcW w:w="734" w:type="dxa"/>
            <w:vAlign w:val="center"/>
          </w:tcPr>
          <w:p>
            <w:pPr>
              <w:widowControl/>
              <w:snapToGrid w:val="0"/>
              <w:jc w:val="center"/>
              <w:textAlignment w:val="center"/>
              <w:rPr>
                <w:rFonts w:hint="eastAsia" w:ascii="等线" w:hAnsi="等线" w:eastAsia="等线" w:cs="等线"/>
                <w:b/>
                <w:bCs/>
                <w:sz w:val="18"/>
                <w:szCs w:val="18"/>
                <w:highlight w:val="none"/>
              </w:rPr>
            </w:pPr>
            <w:r>
              <w:rPr>
                <w:rFonts w:hint="eastAsia" w:ascii="等线" w:hAnsi="等线" w:eastAsia="等线" w:cs="等线"/>
                <w:b/>
                <w:bCs/>
                <w:kern w:val="0"/>
                <w:sz w:val="18"/>
                <w:szCs w:val="18"/>
                <w:highlight w:val="none"/>
                <w:lang w:bidi="ar"/>
              </w:rPr>
              <w:t>数量</w:t>
            </w:r>
          </w:p>
        </w:tc>
        <w:tc>
          <w:tcPr>
            <w:tcW w:w="1053" w:type="dxa"/>
            <w:vAlign w:val="center"/>
          </w:tcPr>
          <w:p>
            <w:pPr>
              <w:widowControl/>
              <w:snapToGrid w:val="0"/>
              <w:jc w:val="center"/>
              <w:textAlignment w:val="center"/>
              <w:rPr>
                <w:rFonts w:hint="eastAsia" w:ascii="等线" w:hAnsi="等线" w:eastAsia="等线" w:cs="等线"/>
                <w:b/>
                <w:bCs/>
                <w:sz w:val="18"/>
                <w:szCs w:val="18"/>
                <w:highlight w:val="none"/>
              </w:rPr>
            </w:pPr>
            <w:r>
              <w:rPr>
                <w:rFonts w:hint="eastAsia" w:ascii="等线" w:hAnsi="等线" w:eastAsia="等线" w:cs="等线"/>
                <w:b/>
                <w:bCs/>
                <w:kern w:val="0"/>
                <w:sz w:val="18"/>
                <w:szCs w:val="18"/>
                <w:highlight w:val="none"/>
                <w:lang w:bidi="ar"/>
              </w:rPr>
              <w:t>税率</w:t>
            </w:r>
          </w:p>
        </w:tc>
        <w:tc>
          <w:tcPr>
            <w:tcW w:w="2072" w:type="dxa"/>
            <w:vAlign w:val="center"/>
          </w:tcPr>
          <w:p>
            <w:pPr>
              <w:widowControl/>
              <w:snapToGrid w:val="0"/>
              <w:jc w:val="center"/>
              <w:textAlignment w:val="center"/>
              <w:rPr>
                <w:rFonts w:hint="eastAsia" w:ascii="等线" w:hAnsi="等线" w:eastAsia="等线" w:cs="等线"/>
                <w:b/>
                <w:bCs/>
                <w:kern w:val="0"/>
                <w:sz w:val="18"/>
                <w:szCs w:val="18"/>
                <w:highlight w:val="none"/>
                <w:lang w:bidi="ar"/>
              </w:rPr>
            </w:pPr>
            <w:r>
              <w:rPr>
                <w:rFonts w:hint="eastAsia" w:ascii="等线" w:hAnsi="等线" w:eastAsia="等线" w:cs="等线"/>
                <w:b/>
                <w:bCs/>
                <w:kern w:val="0"/>
                <w:sz w:val="18"/>
                <w:szCs w:val="18"/>
                <w:highlight w:val="none"/>
                <w:lang w:bidi="ar"/>
              </w:rPr>
              <w:t>单价</w:t>
            </w:r>
          </w:p>
        </w:tc>
        <w:tc>
          <w:tcPr>
            <w:tcW w:w="1025" w:type="dxa"/>
            <w:vAlign w:val="center"/>
          </w:tcPr>
          <w:p>
            <w:pPr>
              <w:widowControl/>
              <w:snapToGrid w:val="0"/>
              <w:jc w:val="center"/>
              <w:textAlignment w:val="center"/>
              <w:rPr>
                <w:rFonts w:hint="eastAsia" w:ascii="等线" w:hAnsi="等线" w:eastAsia="等线" w:cs="等线"/>
                <w:b/>
                <w:bCs/>
                <w:kern w:val="0"/>
                <w:sz w:val="18"/>
                <w:szCs w:val="18"/>
                <w:highlight w:val="none"/>
                <w:lang w:bidi="ar"/>
              </w:rPr>
            </w:pPr>
            <w:r>
              <w:rPr>
                <w:rFonts w:hint="eastAsia" w:ascii="等线" w:hAnsi="等线" w:eastAsia="等线" w:cs="等线"/>
                <w:b/>
                <w:bCs/>
                <w:kern w:val="0"/>
                <w:sz w:val="18"/>
                <w:szCs w:val="18"/>
                <w:highlight w:val="none"/>
                <w:lang w:bidi="ar"/>
              </w:rPr>
              <w:t>总价</w:t>
            </w:r>
          </w:p>
        </w:tc>
        <w:tc>
          <w:tcPr>
            <w:tcW w:w="1242" w:type="dxa"/>
            <w:vAlign w:val="center"/>
          </w:tcPr>
          <w:p>
            <w:pPr>
              <w:widowControl/>
              <w:snapToGrid w:val="0"/>
              <w:jc w:val="center"/>
              <w:textAlignment w:val="center"/>
              <w:rPr>
                <w:rFonts w:hint="eastAsia" w:ascii="等线" w:hAnsi="等线" w:eastAsia="等线" w:cs="等线"/>
                <w:b/>
                <w:bCs/>
                <w:sz w:val="18"/>
                <w:szCs w:val="18"/>
                <w:highlight w:val="none"/>
              </w:rPr>
            </w:pPr>
            <w:r>
              <w:rPr>
                <w:rFonts w:hint="eastAsia" w:ascii="等线" w:hAnsi="等线" w:eastAsia="等线" w:cs="等线"/>
                <w:b/>
                <w:bCs/>
                <w:kern w:val="0"/>
                <w:sz w:val="18"/>
                <w:szCs w:val="18"/>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b/>
                <w:bCs/>
                <w:sz w:val="18"/>
                <w:szCs w:val="18"/>
                <w:highlight w:val="none"/>
              </w:rPr>
            </w:pPr>
            <w:r>
              <w:rPr>
                <w:rFonts w:hint="eastAsia" w:ascii="等线" w:hAnsi="等线" w:eastAsia="等线" w:cs="等线"/>
                <w:b/>
                <w:bCs/>
                <w:kern w:val="0"/>
                <w:sz w:val="18"/>
                <w:szCs w:val="18"/>
                <w:highlight w:val="none"/>
                <w:lang w:bidi="ar"/>
              </w:rPr>
              <w:t>1</w:t>
            </w:r>
          </w:p>
        </w:tc>
        <w:tc>
          <w:tcPr>
            <w:tcW w:w="1560" w:type="dxa"/>
            <w:vAlign w:val="center"/>
          </w:tcPr>
          <w:p>
            <w:pPr>
              <w:widowControl/>
              <w:snapToGrid w:val="0"/>
              <w:jc w:val="center"/>
              <w:textAlignment w:val="center"/>
              <w:rPr>
                <w:rFonts w:hint="eastAsia" w:ascii="等线" w:hAnsi="等线" w:eastAsia="等线" w:cs="等线"/>
                <w:b/>
                <w:bCs/>
                <w:sz w:val="18"/>
                <w:szCs w:val="18"/>
                <w:highlight w:val="none"/>
              </w:rPr>
            </w:pPr>
            <w:r>
              <w:rPr>
                <w:rFonts w:hint="eastAsia" w:ascii="等线" w:hAnsi="等线" w:eastAsia="等线" w:cs="等线"/>
                <w:b/>
                <w:bCs/>
                <w:kern w:val="0"/>
                <w:sz w:val="18"/>
                <w:szCs w:val="18"/>
                <w:highlight w:val="none"/>
                <w:lang w:bidi="ar"/>
              </w:rPr>
              <w:t>特殊教育教学系统</w:t>
            </w:r>
          </w:p>
        </w:tc>
        <w:tc>
          <w:tcPr>
            <w:tcW w:w="1240" w:type="dxa"/>
            <w:vAlign w:val="center"/>
          </w:tcPr>
          <w:p>
            <w:pPr>
              <w:snapToGrid w:val="0"/>
              <w:jc w:val="center"/>
              <w:rPr>
                <w:rFonts w:hint="eastAsia" w:ascii="等线" w:hAnsi="等线" w:eastAsia="等线" w:cs="等线"/>
                <w:b/>
                <w:bCs/>
                <w:sz w:val="18"/>
                <w:szCs w:val="18"/>
                <w:highlight w:val="none"/>
              </w:rPr>
            </w:pPr>
          </w:p>
        </w:tc>
        <w:tc>
          <w:tcPr>
            <w:tcW w:w="734" w:type="dxa"/>
            <w:vAlign w:val="center"/>
          </w:tcPr>
          <w:p>
            <w:pPr>
              <w:snapToGrid w:val="0"/>
              <w:jc w:val="center"/>
              <w:rPr>
                <w:rFonts w:hint="eastAsia" w:ascii="等线" w:hAnsi="等线" w:eastAsia="等线" w:cs="等线"/>
                <w:b/>
                <w:bCs/>
                <w:sz w:val="18"/>
                <w:szCs w:val="18"/>
                <w:highlight w:val="none"/>
              </w:rPr>
            </w:pPr>
          </w:p>
        </w:tc>
        <w:tc>
          <w:tcPr>
            <w:tcW w:w="1053" w:type="dxa"/>
            <w:vAlign w:val="center"/>
          </w:tcPr>
          <w:p>
            <w:pPr>
              <w:snapToGrid w:val="0"/>
              <w:jc w:val="center"/>
              <w:rPr>
                <w:rFonts w:hint="eastAsia" w:ascii="等线" w:hAnsi="等线" w:eastAsia="等线" w:cs="等线"/>
                <w:b/>
                <w:bCs/>
                <w:sz w:val="18"/>
                <w:szCs w:val="18"/>
                <w:highlight w:val="none"/>
              </w:rPr>
            </w:pPr>
          </w:p>
        </w:tc>
        <w:tc>
          <w:tcPr>
            <w:tcW w:w="2072" w:type="dxa"/>
            <w:vAlign w:val="center"/>
          </w:tcPr>
          <w:p>
            <w:pPr>
              <w:snapToGrid w:val="0"/>
              <w:jc w:val="center"/>
              <w:rPr>
                <w:rFonts w:hint="eastAsia" w:ascii="等线" w:hAnsi="等线" w:eastAsia="等线" w:cs="等线"/>
                <w:sz w:val="18"/>
                <w:szCs w:val="18"/>
                <w:highlight w:val="none"/>
              </w:rPr>
            </w:pPr>
          </w:p>
        </w:tc>
        <w:tc>
          <w:tcPr>
            <w:tcW w:w="1025" w:type="dxa"/>
            <w:vAlign w:val="center"/>
          </w:tcPr>
          <w:p>
            <w:pPr>
              <w:snapToGrid w:val="0"/>
              <w:jc w:val="center"/>
              <w:rPr>
                <w:rFonts w:hint="eastAsia" w:ascii="等线" w:hAnsi="等线" w:eastAsia="等线" w:cs="等线"/>
                <w:sz w:val="18"/>
                <w:szCs w:val="18"/>
                <w:highlight w:val="none"/>
              </w:rPr>
            </w:pPr>
          </w:p>
        </w:tc>
        <w:tc>
          <w:tcPr>
            <w:tcW w:w="1242" w:type="dxa"/>
            <w:vAlign w:val="center"/>
          </w:tcPr>
          <w:p>
            <w:pPr>
              <w:snapToGrid w:val="0"/>
              <w:jc w:val="center"/>
              <w:rPr>
                <w:rFonts w:hint="eastAsia" w:ascii="等线" w:hAnsi="等线" w:eastAsia="等线" w:cs="等线"/>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sz w:val="18"/>
                <w:szCs w:val="18"/>
                <w:highlight w:val="none"/>
              </w:rPr>
            </w:pPr>
            <w:r>
              <w:rPr>
                <w:rFonts w:hint="eastAsia" w:ascii="等线" w:hAnsi="等线" w:eastAsia="等线" w:cs="等线"/>
                <w:kern w:val="0"/>
                <w:sz w:val="18"/>
                <w:szCs w:val="18"/>
                <w:highlight w:val="none"/>
                <w:lang w:bidi="ar"/>
              </w:rPr>
              <w:t>1.1</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数据管理后台</w:t>
            </w:r>
          </w:p>
        </w:tc>
        <w:tc>
          <w:tcPr>
            <w:tcW w:w="1240" w:type="dxa"/>
            <w:vAlign w:val="center"/>
          </w:tcPr>
          <w:p>
            <w:pPr>
              <w:widowControl/>
              <w:snapToGrid w:val="0"/>
              <w:jc w:val="center"/>
              <w:textAlignment w:val="center"/>
              <w:rPr>
                <w:rFonts w:hint="eastAsia" w:ascii="等线" w:hAnsi="等线" w:eastAsia="等线" w:cs="等线"/>
                <w:sz w:val="18"/>
                <w:szCs w:val="18"/>
                <w:highlight w:val="none"/>
              </w:rPr>
            </w:pPr>
            <w:r>
              <w:rPr>
                <w:rFonts w:hint="eastAsia" w:ascii="等线" w:hAnsi="等线" w:eastAsia="等线" w:cs="等线"/>
                <w:kern w:val="0"/>
                <w:sz w:val="18"/>
                <w:szCs w:val="18"/>
                <w:highlight w:val="none"/>
                <w:lang w:bidi="ar"/>
              </w:rPr>
              <w:t>套</w:t>
            </w:r>
          </w:p>
        </w:tc>
        <w:tc>
          <w:tcPr>
            <w:tcW w:w="734" w:type="dxa"/>
            <w:vAlign w:val="center"/>
          </w:tcPr>
          <w:p>
            <w:pPr>
              <w:widowControl/>
              <w:snapToGrid w:val="0"/>
              <w:jc w:val="center"/>
              <w:textAlignment w:val="center"/>
              <w:rPr>
                <w:rFonts w:hint="eastAsia" w:ascii="等线" w:hAnsi="等线" w:eastAsia="等线" w:cs="等线"/>
                <w:sz w:val="18"/>
                <w:szCs w:val="18"/>
                <w:highlight w:val="none"/>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sz w:val="18"/>
                <w:szCs w:val="18"/>
                <w:highlight w:val="none"/>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1.2</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个别化教学</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套</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1.3</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学生观察</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套</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1.4</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社会适应实践</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套</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1.5</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成长观察周报</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套</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1.6</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个性化期末报告单</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套</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1.7</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特教教研智能体</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套</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b/>
                <w:bCs/>
                <w:kern w:val="0"/>
                <w:sz w:val="18"/>
                <w:szCs w:val="18"/>
                <w:highlight w:val="none"/>
                <w:lang w:bidi="ar"/>
              </w:rPr>
            </w:pPr>
            <w:r>
              <w:rPr>
                <w:rFonts w:hint="eastAsia" w:ascii="等线" w:hAnsi="等线" w:eastAsia="等线" w:cs="等线"/>
                <w:b/>
                <w:bCs/>
                <w:kern w:val="0"/>
                <w:sz w:val="18"/>
                <w:szCs w:val="18"/>
                <w:highlight w:val="none"/>
                <w:lang w:bidi="ar"/>
              </w:rPr>
              <w:t>2</w:t>
            </w:r>
          </w:p>
        </w:tc>
        <w:tc>
          <w:tcPr>
            <w:tcW w:w="1560" w:type="dxa"/>
            <w:vAlign w:val="center"/>
          </w:tcPr>
          <w:p>
            <w:pPr>
              <w:widowControl/>
              <w:snapToGrid w:val="0"/>
              <w:jc w:val="center"/>
              <w:textAlignment w:val="center"/>
              <w:rPr>
                <w:rFonts w:hint="eastAsia" w:ascii="等线" w:hAnsi="等线" w:eastAsia="等线" w:cs="等线"/>
                <w:b/>
                <w:bCs/>
                <w:kern w:val="0"/>
                <w:sz w:val="18"/>
                <w:szCs w:val="18"/>
                <w:highlight w:val="none"/>
                <w:lang w:bidi="ar"/>
              </w:rPr>
            </w:pPr>
            <w:r>
              <w:rPr>
                <w:rFonts w:hint="eastAsia" w:ascii="等线" w:hAnsi="等线" w:eastAsia="等线" w:cs="等线"/>
                <w:b/>
                <w:bCs/>
                <w:kern w:val="0"/>
                <w:sz w:val="18"/>
                <w:szCs w:val="18"/>
                <w:highlight w:val="none"/>
                <w:lang w:bidi="ar"/>
              </w:rPr>
              <w:t>学校综合管理系统</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2.1</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校园 AI值周</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套</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2.2</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AI安防</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套</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2.3</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学生成长画像</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套</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2.4</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成长森林</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套</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b/>
                <w:bCs/>
                <w:kern w:val="0"/>
                <w:sz w:val="18"/>
                <w:szCs w:val="18"/>
                <w:highlight w:val="none"/>
                <w:lang w:bidi="ar"/>
              </w:rPr>
            </w:pPr>
            <w:r>
              <w:rPr>
                <w:rFonts w:hint="eastAsia" w:ascii="等线" w:hAnsi="等线" w:eastAsia="等线" w:cs="等线"/>
                <w:kern w:val="0"/>
                <w:sz w:val="18"/>
                <w:szCs w:val="18"/>
                <w:highlight w:val="none"/>
                <w:lang w:bidi="ar"/>
              </w:rPr>
              <w:t>2.5</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数据场景屏</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套</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b/>
                <w:bCs/>
                <w:kern w:val="0"/>
                <w:sz w:val="18"/>
                <w:szCs w:val="18"/>
                <w:highlight w:val="none"/>
                <w:lang w:bidi="ar"/>
              </w:rPr>
            </w:pPr>
            <w:r>
              <w:rPr>
                <w:rFonts w:hint="eastAsia" w:ascii="等线" w:hAnsi="等线" w:eastAsia="等线" w:cs="等线"/>
                <w:b/>
                <w:bCs/>
                <w:kern w:val="0"/>
                <w:sz w:val="18"/>
                <w:szCs w:val="18"/>
                <w:highlight w:val="none"/>
                <w:lang w:bidi="ar"/>
              </w:rPr>
              <w:t>3</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b/>
                <w:bCs/>
                <w:kern w:val="0"/>
                <w:sz w:val="18"/>
                <w:szCs w:val="18"/>
                <w:highlight w:val="none"/>
                <w:lang w:bidi="ar"/>
              </w:rPr>
              <w:t>软件系统配套硬件</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3.1</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社会适应实践平台兑换一体机</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台</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3.2</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AI语音播报小屏打印机</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台</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3.3</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AI成长森林评价一体机</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台</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22</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3.4</w:t>
            </w:r>
          </w:p>
        </w:tc>
        <w:tc>
          <w:tcPr>
            <w:tcW w:w="156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Al安防一体机</w:t>
            </w:r>
          </w:p>
        </w:tc>
        <w:tc>
          <w:tcPr>
            <w:tcW w:w="1240"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台</w:t>
            </w:r>
          </w:p>
        </w:tc>
        <w:tc>
          <w:tcPr>
            <w:tcW w:w="734" w:type="dxa"/>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kern w:val="0"/>
                <w:sz w:val="18"/>
                <w:szCs w:val="18"/>
                <w:highlight w:val="none"/>
                <w:lang w:bidi="ar"/>
              </w:rPr>
              <w:t>1</w:t>
            </w:r>
          </w:p>
        </w:tc>
        <w:tc>
          <w:tcPr>
            <w:tcW w:w="1053"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207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025"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9"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c>
          <w:tcPr>
            <w:tcW w:w="6659" w:type="dxa"/>
            <w:gridSpan w:val="5"/>
            <w:vAlign w:val="center"/>
          </w:tcPr>
          <w:p>
            <w:pPr>
              <w:widowControl/>
              <w:snapToGrid w:val="0"/>
              <w:jc w:val="center"/>
              <w:textAlignment w:val="center"/>
              <w:rPr>
                <w:rFonts w:hint="eastAsia" w:ascii="等线" w:hAnsi="等线" w:eastAsia="等线" w:cs="等线"/>
                <w:kern w:val="0"/>
                <w:sz w:val="18"/>
                <w:szCs w:val="18"/>
                <w:highlight w:val="none"/>
                <w:lang w:bidi="ar"/>
              </w:rPr>
            </w:pPr>
            <w:r>
              <w:rPr>
                <w:rFonts w:hint="eastAsia" w:ascii="等线" w:hAnsi="等线" w:eastAsia="等线" w:cs="等线"/>
                <w:b/>
                <w:bCs/>
                <w:kern w:val="0"/>
                <w:sz w:val="18"/>
                <w:szCs w:val="18"/>
                <w:highlight w:val="none"/>
                <w:lang w:bidi="ar"/>
              </w:rPr>
              <w:t>合计</w:t>
            </w:r>
          </w:p>
        </w:tc>
        <w:tc>
          <w:tcPr>
            <w:tcW w:w="1025" w:type="dxa"/>
            <w:vAlign w:val="center"/>
          </w:tcPr>
          <w:p>
            <w:pPr>
              <w:widowControl/>
              <w:snapToGrid w:val="0"/>
              <w:jc w:val="center"/>
              <w:textAlignment w:val="center"/>
              <w:rPr>
                <w:rFonts w:hint="eastAsia" w:ascii="等线" w:hAnsi="等线" w:eastAsia="等线" w:cs="等线"/>
                <w:b/>
                <w:bCs/>
                <w:kern w:val="0"/>
                <w:sz w:val="18"/>
                <w:szCs w:val="18"/>
                <w:highlight w:val="none"/>
                <w:lang w:bidi="ar"/>
              </w:rPr>
            </w:pPr>
          </w:p>
        </w:tc>
        <w:tc>
          <w:tcPr>
            <w:tcW w:w="1242" w:type="dxa"/>
            <w:vAlign w:val="center"/>
          </w:tcPr>
          <w:p>
            <w:pPr>
              <w:widowControl/>
              <w:snapToGrid w:val="0"/>
              <w:jc w:val="center"/>
              <w:textAlignment w:val="center"/>
              <w:rPr>
                <w:rFonts w:hint="eastAsia" w:ascii="等线" w:hAnsi="等线" w:eastAsia="等线" w:cs="等线"/>
                <w:kern w:val="0"/>
                <w:sz w:val="18"/>
                <w:szCs w:val="18"/>
                <w:highlight w:val="none"/>
                <w:lang w:bidi="ar"/>
              </w:rPr>
            </w:pPr>
          </w:p>
        </w:tc>
      </w:tr>
    </w:tbl>
    <w:p>
      <w:pPr>
        <w:jc w:val="left"/>
        <w:rPr>
          <w:rFonts w:hint="eastAsia" w:ascii="仿宋" w:hAnsi="仿宋" w:eastAsia="仿宋" w:cs="仿宋"/>
          <w:kern w:val="0"/>
          <w:sz w:val="24"/>
          <w:highlight w:val="none"/>
        </w:rPr>
      </w:pPr>
    </w:p>
    <w:p>
      <w:pPr>
        <w:jc w:val="left"/>
        <w:rPr>
          <w:rFonts w:hint="eastAsia" w:ascii="仿宋" w:hAnsi="仿宋" w:eastAsia="仿宋" w:cs="仿宋"/>
          <w:kern w:val="0"/>
          <w:sz w:val="24"/>
          <w:highlight w:val="none"/>
        </w:rPr>
      </w:pPr>
      <w:r>
        <w:rPr>
          <w:rFonts w:hint="eastAsia" w:ascii="仿宋" w:hAnsi="仿宋" w:eastAsia="仿宋" w:cs="仿宋"/>
          <w:kern w:val="0"/>
          <w:sz w:val="24"/>
          <w:highlight w:val="none"/>
        </w:rPr>
        <w:t>综合单价，含服务、运维</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报价说明（由报价人自行编写）：</w:t>
      </w:r>
    </w:p>
    <w:p>
      <w:pPr>
        <w:spacing w:line="360" w:lineRule="auto"/>
        <w:ind w:firstLine="1360" w:firstLineChars="567"/>
        <w:rPr>
          <w:rFonts w:hint="eastAsia" w:ascii="仿宋" w:hAnsi="仿宋" w:eastAsia="仿宋" w:cs="仿宋"/>
          <w:sz w:val="24"/>
          <w:highlight w:val="none"/>
        </w:rPr>
      </w:pPr>
      <w:r>
        <w:rPr>
          <w:rFonts w:hint="eastAsia" w:ascii="仿宋" w:hAnsi="仿宋" w:eastAsia="仿宋" w:cs="仿宋"/>
          <w:sz w:val="24"/>
          <w:highlight w:val="none"/>
        </w:rPr>
        <w:t>1、</w:t>
      </w:r>
    </w:p>
    <w:p>
      <w:pPr>
        <w:spacing w:line="360" w:lineRule="auto"/>
        <w:ind w:firstLine="160" w:firstLineChars="67"/>
        <w:rPr>
          <w:rFonts w:hint="eastAsia" w:ascii="仿宋" w:hAnsi="仿宋" w:eastAsia="仿宋" w:cs="仿宋"/>
          <w:kern w:val="0"/>
          <w:szCs w:val="21"/>
          <w:highlight w:val="none"/>
        </w:rPr>
      </w:pPr>
      <w:r>
        <w:rPr>
          <w:rFonts w:hint="eastAsia" w:ascii="仿宋" w:hAnsi="仿宋" w:eastAsia="仿宋" w:cs="仿宋"/>
          <w:sz w:val="24"/>
          <w:highlight w:val="none"/>
        </w:rPr>
        <w:t xml:space="preserve">          2、</w:t>
      </w:r>
    </w:p>
    <w:p>
      <w:pPr>
        <w:spacing w:line="360" w:lineRule="auto"/>
        <w:ind w:firstLine="3600" w:firstLineChars="1500"/>
        <w:rPr>
          <w:rFonts w:hint="eastAsia" w:ascii="仿宋" w:hAnsi="仿宋" w:eastAsia="仿宋" w:cs="仿宋"/>
          <w:sz w:val="24"/>
          <w:highlight w:val="none"/>
        </w:rPr>
      </w:pPr>
    </w:p>
    <w:p>
      <w:pPr>
        <w:spacing w:line="360" w:lineRule="auto"/>
        <w:ind w:firstLine="3600" w:firstLineChars="1500"/>
        <w:rPr>
          <w:rFonts w:hint="eastAsia" w:ascii="仿宋" w:hAnsi="仿宋" w:eastAsia="仿宋" w:cs="仿宋"/>
          <w:sz w:val="24"/>
          <w:highlight w:val="none"/>
        </w:rPr>
      </w:pPr>
    </w:p>
    <w:p>
      <w:pPr>
        <w:spacing w:line="360" w:lineRule="auto"/>
        <w:ind w:firstLine="3600" w:firstLineChars="1500"/>
        <w:rPr>
          <w:rFonts w:hint="eastAsia" w:ascii="仿宋" w:hAnsi="仿宋" w:eastAsia="仿宋" w:cs="仿宋"/>
          <w:sz w:val="24"/>
          <w:highlight w:val="none"/>
        </w:rPr>
      </w:pPr>
      <w:r>
        <w:rPr>
          <w:rFonts w:hint="eastAsia" w:ascii="仿宋" w:hAnsi="仿宋" w:eastAsia="仿宋" w:cs="仿宋"/>
          <w:sz w:val="24"/>
          <w:highlight w:val="none"/>
        </w:rPr>
        <w:t>报 价 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（盖单位章）</w:t>
      </w:r>
    </w:p>
    <w:p>
      <w:pPr>
        <w:spacing w:line="360" w:lineRule="auto"/>
        <w:ind w:firstLine="3600" w:firstLineChars="1500"/>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pPr>
        <w:autoSpaceDE w:val="0"/>
        <w:autoSpaceDN w:val="0"/>
        <w:adjustRightInd w:val="0"/>
        <w:snapToGrid w:val="0"/>
        <w:spacing w:before="156" w:beforeLines="50" w:after="249" w:afterLines="80" w:line="240" w:lineRule="atLeast"/>
        <w:jc w:val="left"/>
        <w:rPr>
          <w:rFonts w:hint="eastAsia" w:ascii="仿宋" w:hAnsi="仿宋" w:eastAsia="仿宋" w:cs="仿宋"/>
          <w:b/>
          <w:sz w:val="28"/>
          <w:szCs w:val="28"/>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bookmarkEnd w:id="196"/>
    <w:p>
      <w:pPr>
        <w:pStyle w:val="5"/>
        <w:numPr>
          <w:ilvl w:val="0"/>
          <w:numId w:val="18"/>
        </w:numPr>
        <w:rPr>
          <w:rFonts w:hint="eastAsia" w:cs="仿宋"/>
          <w:highlight w:val="none"/>
        </w:rPr>
      </w:pPr>
      <w:bookmarkStart w:id="197" w:name="附件六"/>
      <w:bookmarkStart w:id="198" w:name="_Toc58490819"/>
      <w:r>
        <w:rPr>
          <w:rFonts w:hint="eastAsia" w:cs="仿宋"/>
          <w:highlight w:val="none"/>
        </w:rPr>
        <w:t>响应人信息</w:t>
      </w:r>
      <w:bookmarkEnd w:id="197"/>
      <w:bookmarkEnd w:id="198"/>
    </w:p>
    <w:p>
      <w:pPr>
        <w:spacing w:line="360" w:lineRule="auto"/>
        <w:jc w:val="center"/>
        <w:rPr>
          <w:rFonts w:hint="eastAsia" w:ascii="仿宋" w:hAnsi="仿宋" w:eastAsia="仿宋" w:cs="仿宋"/>
          <w:b/>
          <w:sz w:val="28"/>
          <w:szCs w:val="28"/>
          <w:highlight w:val="none"/>
        </w:rPr>
      </w:pPr>
      <w:bookmarkStart w:id="199" w:name="OLE_LINK2"/>
      <w:bookmarkStart w:id="200" w:name="OLE_LINK3"/>
      <w:bookmarkStart w:id="201" w:name="OLE_LINK1"/>
      <w:r>
        <w:rPr>
          <w:rFonts w:hint="eastAsia" w:ascii="仿宋" w:hAnsi="仿宋" w:eastAsia="仿宋" w:cs="仿宋"/>
          <w:b/>
          <w:sz w:val="30"/>
          <w:szCs w:val="30"/>
          <w:highlight w:val="none"/>
        </w:rPr>
        <w:t>响应人</w:t>
      </w:r>
      <w:r>
        <w:rPr>
          <w:rFonts w:hint="eastAsia" w:ascii="仿宋" w:hAnsi="仿宋" w:eastAsia="仿宋" w:cs="仿宋"/>
          <w:b/>
          <w:sz w:val="28"/>
          <w:szCs w:val="28"/>
          <w:highlight w:val="none"/>
        </w:rPr>
        <w:t>基本信息表</w:t>
      </w:r>
    </w:p>
    <w:bookmarkEnd w:id="199"/>
    <w:bookmarkEnd w:id="200"/>
    <w:bookmarkEnd w:id="201"/>
    <w:tbl>
      <w:tblPr>
        <w:tblStyle w:val="21"/>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7"/>
        <w:gridCol w:w="1393"/>
        <w:gridCol w:w="1153"/>
        <w:gridCol w:w="345"/>
        <w:gridCol w:w="931"/>
        <w:gridCol w:w="1134"/>
        <w:gridCol w:w="1183"/>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企业名称</w:t>
            </w:r>
          </w:p>
        </w:tc>
        <w:tc>
          <w:tcPr>
            <w:tcW w:w="3822" w:type="dxa"/>
            <w:gridSpan w:val="4"/>
            <w:tcBorders>
              <w:right w:val="single" w:color="auto" w:sz="4" w:space="0"/>
            </w:tcBorders>
            <w:vAlign w:val="center"/>
          </w:tcPr>
          <w:p>
            <w:pPr>
              <w:jc w:val="center"/>
              <w:rPr>
                <w:rFonts w:hint="eastAsia" w:ascii="仿宋" w:hAnsi="仿宋" w:eastAsia="仿宋" w:cs="仿宋"/>
                <w:highlight w:val="none"/>
              </w:rPr>
            </w:pPr>
          </w:p>
        </w:tc>
        <w:tc>
          <w:tcPr>
            <w:tcW w:w="1134" w:type="dxa"/>
            <w:tcBorders>
              <w:left w:val="single" w:color="auto" w:sz="4" w:space="0"/>
            </w:tcBorders>
            <w:vAlign w:val="center"/>
          </w:tcPr>
          <w:p>
            <w:pPr>
              <w:jc w:val="center"/>
              <w:rPr>
                <w:rFonts w:hint="eastAsia" w:ascii="仿宋" w:hAnsi="仿宋" w:eastAsia="仿宋" w:cs="仿宋"/>
                <w:highlight w:val="none"/>
              </w:rPr>
            </w:pPr>
            <w:r>
              <w:rPr>
                <w:rFonts w:hint="eastAsia" w:ascii="仿宋" w:hAnsi="仿宋" w:eastAsia="仿宋" w:cs="仿宋"/>
                <w:highlight w:val="none"/>
              </w:rPr>
              <w:t>企业性质</w:t>
            </w:r>
          </w:p>
        </w:tc>
        <w:tc>
          <w:tcPr>
            <w:tcW w:w="2532" w:type="dxa"/>
            <w:gridSpan w:val="2"/>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企业地址</w:t>
            </w:r>
          </w:p>
        </w:tc>
        <w:tc>
          <w:tcPr>
            <w:tcW w:w="3822" w:type="dxa"/>
            <w:gridSpan w:val="4"/>
            <w:tcBorders>
              <w:right w:val="single" w:color="auto" w:sz="4" w:space="0"/>
            </w:tcBorders>
            <w:vAlign w:val="center"/>
          </w:tcPr>
          <w:p>
            <w:pPr>
              <w:jc w:val="center"/>
              <w:rPr>
                <w:rFonts w:hint="eastAsia" w:ascii="仿宋" w:hAnsi="仿宋" w:eastAsia="仿宋" w:cs="仿宋"/>
                <w:highlight w:val="none"/>
              </w:rPr>
            </w:pPr>
          </w:p>
        </w:tc>
        <w:tc>
          <w:tcPr>
            <w:tcW w:w="1134" w:type="dxa"/>
            <w:tcBorders>
              <w:left w:val="single" w:color="auto" w:sz="4" w:space="0"/>
            </w:tcBorders>
            <w:vAlign w:val="center"/>
          </w:tcPr>
          <w:p>
            <w:pPr>
              <w:jc w:val="center"/>
              <w:rPr>
                <w:rFonts w:hint="eastAsia" w:ascii="仿宋" w:hAnsi="仿宋" w:eastAsia="仿宋" w:cs="仿宋"/>
                <w:highlight w:val="none"/>
              </w:rPr>
            </w:pPr>
            <w:r>
              <w:rPr>
                <w:rFonts w:hint="eastAsia" w:ascii="仿宋" w:hAnsi="仿宋" w:eastAsia="仿宋" w:cs="仿宋"/>
                <w:highlight w:val="none"/>
              </w:rPr>
              <w:t>企业网址</w:t>
            </w:r>
          </w:p>
        </w:tc>
        <w:tc>
          <w:tcPr>
            <w:tcW w:w="2532" w:type="dxa"/>
            <w:gridSpan w:val="2"/>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注册资本金</w:t>
            </w:r>
          </w:p>
          <w:p>
            <w:pPr>
              <w:jc w:val="center"/>
              <w:rPr>
                <w:rFonts w:hint="eastAsia" w:ascii="仿宋" w:hAnsi="仿宋" w:eastAsia="仿宋" w:cs="仿宋"/>
                <w:highlight w:val="none"/>
              </w:rPr>
            </w:pPr>
            <w:r>
              <w:rPr>
                <w:rFonts w:hint="eastAsia" w:ascii="仿宋" w:hAnsi="仿宋" w:eastAsia="仿宋" w:cs="仿宋"/>
                <w:highlight w:val="none"/>
              </w:rPr>
              <w:t>（万元）</w:t>
            </w:r>
          </w:p>
        </w:tc>
        <w:tc>
          <w:tcPr>
            <w:tcW w:w="1393" w:type="dxa"/>
            <w:vAlign w:val="center"/>
          </w:tcPr>
          <w:p>
            <w:pPr>
              <w:jc w:val="center"/>
              <w:rPr>
                <w:rFonts w:hint="eastAsia" w:ascii="仿宋" w:hAnsi="仿宋" w:eastAsia="仿宋" w:cs="仿宋"/>
                <w:highlight w:val="none"/>
              </w:rPr>
            </w:pPr>
          </w:p>
        </w:tc>
        <w:tc>
          <w:tcPr>
            <w:tcW w:w="1153" w:type="dxa"/>
            <w:vAlign w:val="center"/>
          </w:tcPr>
          <w:p>
            <w:pPr>
              <w:jc w:val="center"/>
              <w:rPr>
                <w:rFonts w:hint="eastAsia" w:ascii="仿宋" w:hAnsi="仿宋" w:eastAsia="仿宋" w:cs="仿宋"/>
                <w:highlight w:val="none"/>
              </w:rPr>
            </w:pPr>
            <w:r>
              <w:rPr>
                <w:rFonts w:hint="eastAsia" w:ascii="仿宋" w:hAnsi="仿宋" w:eastAsia="仿宋" w:cs="仿宋"/>
                <w:highlight w:val="none"/>
              </w:rPr>
              <w:t>实收资金</w:t>
            </w:r>
          </w:p>
          <w:p>
            <w:pPr>
              <w:jc w:val="center"/>
              <w:rPr>
                <w:rFonts w:hint="eastAsia" w:ascii="仿宋" w:hAnsi="仿宋" w:eastAsia="仿宋" w:cs="仿宋"/>
                <w:highlight w:val="none"/>
              </w:rPr>
            </w:pPr>
            <w:r>
              <w:rPr>
                <w:rFonts w:hint="eastAsia" w:ascii="仿宋" w:hAnsi="仿宋" w:eastAsia="仿宋" w:cs="仿宋"/>
                <w:highlight w:val="none"/>
              </w:rPr>
              <w:t>（万元）</w:t>
            </w:r>
          </w:p>
        </w:tc>
        <w:tc>
          <w:tcPr>
            <w:tcW w:w="2410" w:type="dxa"/>
            <w:gridSpan w:val="3"/>
            <w:tcBorders>
              <w:right w:val="single" w:color="auto" w:sz="4" w:space="0"/>
            </w:tcBorders>
            <w:vAlign w:val="center"/>
          </w:tcPr>
          <w:p>
            <w:pPr>
              <w:jc w:val="center"/>
              <w:rPr>
                <w:rFonts w:hint="eastAsia" w:ascii="仿宋" w:hAnsi="仿宋" w:eastAsia="仿宋" w:cs="仿宋"/>
                <w:highlight w:val="none"/>
              </w:rPr>
            </w:pPr>
          </w:p>
        </w:tc>
        <w:tc>
          <w:tcPr>
            <w:tcW w:w="1183" w:type="dxa"/>
            <w:tcBorders>
              <w:left w:val="single" w:color="auto" w:sz="4" w:space="0"/>
              <w:right w:val="single" w:color="auto" w:sz="4" w:space="0"/>
            </w:tcBorders>
            <w:vAlign w:val="center"/>
          </w:tcPr>
          <w:p>
            <w:pPr>
              <w:jc w:val="center"/>
              <w:rPr>
                <w:rFonts w:hint="eastAsia" w:ascii="仿宋" w:hAnsi="仿宋" w:eastAsia="仿宋" w:cs="仿宋"/>
                <w:highlight w:val="none"/>
              </w:rPr>
            </w:pPr>
            <w:r>
              <w:rPr>
                <w:rFonts w:hint="eastAsia" w:ascii="仿宋" w:hAnsi="仿宋" w:eastAsia="仿宋" w:cs="仿宋"/>
                <w:highlight w:val="none"/>
              </w:rPr>
              <w:t>成立年月</w:t>
            </w:r>
          </w:p>
        </w:tc>
        <w:tc>
          <w:tcPr>
            <w:tcW w:w="1349" w:type="dxa"/>
            <w:tcBorders>
              <w:left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年生产能力</w:t>
            </w:r>
          </w:p>
        </w:tc>
        <w:tc>
          <w:tcPr>
            <w:tcW w:w="1393" w:type="dxa"/>
            <w:vAlign w:val="center"/>
          </w:tcPr>
          <w:p>
            <w:pPr>
              <w:jc w:val="center"/>
              <w:rPr>
                <w:rFonts w:hint="eastAsia" w:ascii="仿宋" w:hAnsi="仿宋" w:eastAsia="仿宋" w:cs="仿宋"/>
                <w:highlight w:val="none"/>
              </w:rPr>
            </w:pPr>
          </w:p>
        </w:tc>
        <w:tc>
          <w:tcPr>
            <w:tcW w:w="1153" w:type="dxa"/>
            <w:vAlign w:val="center"/>
          </w:tcPr>
          <w:p>
            <w:pPr>
              <w:jc w:val="center"/>
              <w:rPr>
                <w:rFonts w:hint="eastAsia" w:ascii="仿宋" w:hAnsi="仿宋" w:eastAsia="仿宋" w:cs="仿宋"/>
                <w:highlight w:val="none"/>
              </w:rPr>
            </w:pPr>
            <w:r>
              <w:rPr>
                <w:rFonts w:hint="eastAsia" w:ascii="仿宋" w:hAnsi="仿宋" w:eastAsia="仿宋" w:cs="仿宋"/>
                <w:highlight w:val="none"/>
              </w:rPr>
              <w:t>员工总数（人）</w:t>
            </w:r>
          </w:p>
        </w:tc>
        <w:tc>
          <w:tcPr>
            <w:tcW w:w="2410" w:type="dxa"/>
            <w:gridSpan w:val="3"/>
            <w:tcBorders>
              <w:right w:val="single" w:color="auto" w:sz="4" w:space="0"/>
            </w:tcBorders>
            <w:vAlign w:val="center"/>
          </w:tcPr>
          <w:p>
            <w:pPr>
              <w:jc w:val="center"/>
              <w:rPr>
                <w:rFonts w:hint="eastAsia" w:ascii="仿宋" w:hAnsi="仿宋" w:eastAsia="仿宋" w:cs="仿宋"/>
                <w:highlight w:val="none"/>
              </w:rPr>
            </w:pPr>
          </w:p>
        </w:tc>
        <w:tc>
          <w:tcPr>
            <w:tcW w:w="1183" w:type="dxa"/>
            <w:tcBorders>
              <w:left w:val="single" w:color="auto" w:sz="4" w:space="0"/>
              <w:right w:val="single" w:color="auto" w:sz="4" w:space="0"/>
            </w:tcBorders>
            <w:vAlign w:val="center"/>
          </w:tcPr>
          <w:p>
            <w:pPr>
              <w:jc w:val="center"/>
              <w:rPr>
                <w:rFonts w:hint="eastAsia" w:ascii="仿宋" w:hAnsi="仿宋" w:eastAsia="仿宋" w:cs="仿宋"/>
                <w:highlight w:val="none"/>
              </w:rPr>
            </w:pPr>
            <w:r>
              <w:rPr>
                <w:rFonts w:hint="eastAsia" w:ascii="仿宋" w:hAnsi="仿宋" w:eastAsia="仿宋" w:cs="仿宋"/>
                <w:highlight w:val="none"/>
              </w:rPr>
              <w:t>其中管理人员（人）</w:t>
            </w:r>
          </w:p>
        </w:tc>
        <w:tc>
          <w:tcPr>
            <w:tcW w:w="1349" w:type="dxa"/>
            <w:tcBorders>
              <w:left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邮编</w:t>
            </w:r>
          </w:p>
        </w:tc>
        <w:tc>
          <w:tcPr>
            <w:tcW w:w="1393" w:type="dxa"/>
            <w:vAlign w:val="center"/>
          </w:tcPr>
          <w:p>
            <w:pPr>
              <w:jc w:val="center"/>
              <w:rPr>
                <w:rFonts w:hint="eastAsia" w:ascii="仿宋" w:hAnsi="仿宋" w:eastAsia="仿宋" w:cs="仿宋"/>
                <w:highlight w:val="none"/>
              </w:rPr>
            </w:pPr>
          </w:p>
        </w:tc>
        <w:tc>
          <w:tcPr>
            <w:tcW w:w="1153" w:type="dxa"/>
            <w:vAlign w:val="center"/>
          </w:tcPr>
          <w:p>
            <w:pPr>
              <w:jc w:val="center"/>
              <w:rPr>
                <w:rFonts w:hint="eastAsia" w:ascii="仿宋" w:hAnsi="仿宋" w:eastAsia="仿宋" w:cs="仿宋"/>
                <w:highlight w:val="none"/>
              </w:rPr>
            </w:pPr>
            <w:r>
              <w:rPr>
                <w:rFonts w:hint="eastAsia" w:ascii="仿宋" w:hAnsi="仿宋" w:eastAsia="仿宋" w:cs="仿宋"/>
                <w:highlight w:val="none"/>
              </w:rPr>
              <w:t>企业电话</w:t>
            </w:r>
          </w:p>
        </w:tc>
        <w:tc>
          <w:tcPr>
            <w:tcW w:w="2410" w:type="dxa"/>
            <w:gridSpan w:val="3"/>
            <w:tcBorders>
              <w:right w:val="single" w:color="auto" w:sz="4" w:space="0"/>
            </w:tcBorders>
            <w:vAlign w:val="center"/>
          </w:tcPr>
          <w:p>
            <w:pPr>
              <w:jc w:val="center"/>
              <w:rPr>
                <w:rFonts w:hint="eastAsia" w:ascii="仿宋" w:hAnsi="仿宋" w:eastAsia="仿宋" w:cs="仿宋"/>
                <w:highlight w:val="none"/>
              </w:rPr>
            </w:pPr>
          </w:p>
        </w:tc>
        <w:tc>
          <w:tcPr>
            <w:tcW w:w="1183" w:type="dxa"/>
            <w:tcBorders>
              <w:left w:val="single" w:color="auto" w:sz="4" w:space="0"/>
              <w:right w:val="single" w:color="auto" w:sz="4" w:space="0"/>
            </w:tcBorders>
            <w:vAlign w:val="center"/>
          </w:tcPr>
          <w:p>
            <w:pPr>
              <w:jc w:val="center"/>
              <w:rPr>
                <w:rFonts w:hint="eastAsia" w:ascii="仿宋" w:hAnsi="仿宋" w:eastAsia="仿宋" w:cs="仿宋"/>
                <w:highlight w:val="none"/>
              </w:rPr>
            </w:pPr>
            <w:r>
              <w:rPr>
                <w:rFonts w:hint="eastAsia" w:ascii="仿宋" w:hAnsi="仿宋" w:eastAsia="仿宋" w:cs="仿宋"/>
                <w:highlight w:val="none"/>
              </w:rPr>
              <w:t>传真</w:t>
            </w:r>
          </w:p>
        </w:tc>
        <w:tc>
          <w:tcPr>
            <w:tcW w:w="1349" w:type="dxa"/>
            <w:tcBorders>
              <w:left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主要人员</w:t>
            </w:r>
          </w:p>
        </w:tc>
        <w:tc>
          <w:tcPr>
            <w:tcW w:w="1393" w:type="dxa"/>
            <w:vAlign w:val="center"/>
          </w:tcPr>
          <w:p>
            <w:pPr>
              <w:jc w:val="center"/>
              <w:rPr>
                <w:rFonts w:hint="eastAsia" w:ascii="仿宋" w:hAnsi="仿宋" w:eastAsia="仿宋" w:cs="仿宋"/>
                <w:highlight w:val="none"/>
              </w:rPr>
            </w:pPr>
            <w:r>
              <w:rPr>
                <w:rFonts w:hint="eastAsia" w:ascii="仿宋" w:hAnsi="仿宋" w:eastAsia="仿宋" w:cs="仿宋"/>
                <w:highlight w:val="none"/>
              </w:rPr>
              <w:t>姓名</w:t>
            </w:r>
          </w:p>
        </w:tc>
        <w:tc>
          <w:tcPr>
            <w:tcW w:w="1498" w:type="dxa"/>
            <w:gridSpan w:val="2"/>
            <w:tcBorders>
              <w:right w:val="single" w:color="auto" w:sz="4" w:space="0"/>
            </w:tcBorders>
            <w:vAlign w:val="center"/>
          </w:tcPr>
          <w:p>
            <w:pPr>
              <w:jc w:val="center"/>
              <w:rPr>
                <w:rFonts w:hint="eastAsia" w:ascii="仿宋" w:hAnsi="仿宋" w:eastAsia="仿宋" w:cs="仿宋"/>
                <w:highlight w:val="none"/>
              </w:rPr>
            </w:pPr>
            <w:r>
              <w:rPr>
                <w:rFonts w:hint="eastAsia" w:ascii="仿宋" w:hAnsi="仿宋" w:eastAsia="仿宋" w:cs="仿宋"/>
                <w:highlight w:val="none"/>
              </w:rPr>
              <w:t>办公电话</w:t>
            </w:r>
          </w:p>
        </w:tc>
        <w:tc>
          <w:tcPr>
            <w:tcW w:w="2065" w:type="dxa"/>
            <w:gridSpan w:val="2"/>
            <w:tcBorders>
              <w:right w:val="single" w:color="auto" w:sz="4" w:space="0"/>
            </w:tcBorders>
            <w:vAlign w:val="center"/>
          </w:tcPr>
          <w:p>
            <w:pPr>
              <w:jc w:val="center"/>
              <w:rPr>
                <w:rFonts w:hint="eastAsia" w:ascii="仿宋" w:hAnsi="仿宋" w:eastAsia="仿宋" w:cs="仿宋"/>
                <w:highlight w:val="none"/>
              </w:rPr>
            </w:pPr>
            <w:r>
              <w:rPr>
                <w:rFonts w:hint="eastAsia" w:ascii="仿宋" w:hAnsi="仿宋" w:eastAsia="仿宋" w:cs="仿宋"/>
                <w:highlight w:val="none"/>
              </w:rPr>
              <w:t>手机</w:t>
            </w:r>
          </w:p>
        </w:tc>
        <w:tc>
          <w:tcPr>
            <w:tcW w:w="2532" w:type="dxa"/>
            <w:gridSpan w:val="2"/>
            <w:tcBorders>
              <w:left w:val="single" w:color="auto" w:sz="4" w:space="0"/>
              <w:right w:val="single" w:color="auto" w:sz="4" w:space="0"/>
            </w:tcBorders>
            <w:vAlign w:val="center"/>
          </w:tcPr>
          <w:p>
            <w:pPr>
              <w:jc w:val="center"/>
              <w:rPr>
                <w:rFonts w:hint="eastAsia" w:ascii="仿宋" w:hAnsi="仿宋" w:eastAsia="仿宋" w:cs="仿宋"/>
                <w:highlight w:val="none"/>
              </w:rPr>
            </w:pPr>
            <w:r>
              <w:rPr>
                <w:rFonts w:hint="eastAsia" w:ascii="仿宋" w:hAnsi="仿宋" w:eastAsia="仿宋" w:cs="仿宋"/>
                <w:highlight w:val="none"/>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法定代表人</w:t>
            </w:r>
          </w:p>
        </w:tc>
        <w:tc>
          <w:tcPr>
            <w:tcW w:w="1393" w:type="dxa"/>
            <w:vAlign w:val="center"/>
          </w:tcPr>
          <w:p>
            <w:pPr>
              <w:jc w:val="center"/>
              <w:rPr>
                <w:rFonts w:hint="eastAsia" w:ascii="仿宋" w:hAnsi="仿宋" w:eastAsia="仿宋" w:cs="仿宋"/>
                <w:highlight w:val="none"/>
              </w:rPr>
            </w:pPr>
          </w:p>
        </w:tc>
        <w:tc>
          <w:tcPr>
            <w:tcW w:w="1498" w:type="dxa"/>
            <w:gridSpan w:val="2"/>
            <w:tcBorders>
              <w:right w:val="single" w:color="auto" w:sz="4" w:space="0"/>
            </w:tcBorders>
            <w:vAlign w:val="center"/>
          </w:tcPr>
          <w:p>
            <w:pPr>
              <w:jc w:val="center"/>
              <w:rPr>
                <w:rFonts w:hint="eastAsia" w:ascii="仿宋" w:hAnsi="仿宋" w:eastAsia="仿宋" w:cs="仿宋"/>
                <w:highlight w:val="none"/>
              </w:rPr>
            </w:pPr>
          </w:p>
        </w:tc>
        <w:tc>
          <w:tcPr>
            <w:tcW w:w="2065" w:type="dxa"/>
            <w:gridSpan w:val="2"/>
            <w:tcBorders>
              <w:right w:val="single" w:color="auto" w:sz="4" w:space="0"/>
            </w:tcBorders>
            <w:vAlign w:val="center"/>
          </w:tcPr>
          <w:p>
            <w:pPr>
              <w:jc w:val="center"/>
              <w:rPr>
                <w:rFonts w:hint="eastAsia" w:ascii="仿宋" w:hAnsi="仿宋" w:eastAsia="仿宋" w:cs="仿宋"/>
                <w:highlight w:val="none"/>
              </w:rPr>
            </w:pPr>
          </w:p>
        </w:tc>
        <w:tc>
          <w:tcPr>
            <w:tcW w:w="2532" w:type="dxa"/>
            <w:gridSpan w:val="2"/>
            <w:tcBorders>
              <w:left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技术负责人</w:t>
            </w:r>
          </w:p>
        </w:tc>
        <w:tc>
          <w:tcPr>
            <w:tcW w:w="1393" w:type="dxa"/>
            <w:vAlign w:val="center"/>
          </w:tcPr>
          <w:p>
            <w:pPr>
              <w:jc w:val="center"/>
              <w:rPr>
                <w:rFonts w:hint="eastAsia" w:ascii="仿宋" w:hAnsi="仿宋" w:eastAsia="仿宋" w:cs="仿宋"/>
                <w:highlight w:val="none"/>
              </w:rPr>
            </w:pPr>
          </w:p>
        </w:tc>
        <w:tc>
          <w:tcPr>
            <w:tcW w:w="1498" w:type="dxa"/>
            <w:gridSpan w:val="2"/>
            <w:tcBorders>
              <w:right w:val="single" w:color="auto" w:sz="4" w:space="0"/>
            </w:tcBorders>
            <w:vAlign w:val="center"/>
          </w:tcPr>
          <w:p>
            <w:pPr>
              <w:jc w:val="center"/>
              <w:rPr>
                <w:rFonts w:hint="eastAsia" w:ascii="仿宋" w:hAnsi="仿宋" w:eastAsia="仿宋" w:cs="仿宋"/>
                <w:highlight w:val="none"/>
              </w:rPr>
            </w:pPr>
          </w:p>
        </w:tc>
        <w:tc>
          <w:tcPr>
            <w:tcW w:w="2065" w:type="dxa"/>
            <w:gridSpan w:val="2"/>
            <w:tcBorders>
              <w:right w:val="single" w:color="auto" w:sz="4" w:space="0"/>
            </w:tcBorders>
            <w:vAlign w:val="center"/>
          </w:tcPr>
          <w:p>
            <w:pPr>
              <w:jc w:val="center"/>
              <w:rPr>
                <w:rFonts w:hint="eastAsia" w:ascii="仿宋" w:hAnsi="仿宋" w:eastAsia="仿宋" w:cs="仿宋"/>
                <w:highlight w:val="none"/>
              </w:rPr>
            </w:pPr>
          </w:p>
        </w:tc>
        <w:tc>
          <w:tcPr>
            <w:tcW w:w="2532" w:type="dxa"/>
            <w:gridSpan w:val="2"/>
            <w:tcBorders>
              <w:left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业务联系人</w:t>
            </w:r>
          </w:p>
        </w:tc>
        <w:tc>
          <w:tcPr>
            <w:tcW w:w="1393" w:type="dxa"/>
            <w:vAlign w:val="center"/>
          </w:tcPr>
          <w:p>
            <w:pPr>
              <w:jc w:val="center"/>
              <w:rPr>
                <w:rFonts w:hint="eastAsia" w:ascii="仿宋" w:hAnsi="仿宋" w:eastAsia="仿宋" w:cs="仿宋"/>
                <w:highlight w:val="none"/>
              </w:rPr>
            </w:pPr>
          </w:p>
        </w:tc>
        <w:tc>
          <w:tcPr>
            <w:tcW w:w="1498" w:type="dxa"/>
            <w:gridSpan w:val="2"/>
            <w:tcBorders>
              <w:right w:val="single" w:color="auto" w:sz="4" w:space="0"/>
            </w:tcBorders>
            <w:vAlign w:val="center"/>
          </w:tcPr>
          <w:p>
            <w:pPr>
              <w:jc w:val="center"/>
              <w:rPr>
                <w:rFonts w:hint="eastAsia" w:ascii="仿宋" w:hAnsi="仿宋" w:eastAsia="仿宋" w:cs="仿宋"/>
                <w:highlight w:val="none"/>
              </w:rPr>
            </w:pPr>
          </w:p>
        </w:tc>
        <w:tc>
          <w:tcPr>
            <w:tcW w:w="2065" w:type="dxa"/>
            <w:gridSpan w:val="2"/>
            <w:tcBorders>
              <w:right w:val="single" w:color="auto" w:sz="4" w:space="0"/>
            </w:tcBorders>
            <w:vAlign w:val="center"/>
          </w:tcPr>
          <w:p>
            <w:pPr>
              <w:jc w:val="center"/>
              <w:rPr>
                <w:rFonts w:hint="eastAsia" w:ascii="仿宋" w:hAnsi="仿宋" w:eastAsia="仿宋" w:cs="仿宋"/>
                <w:highlight w:val="none"/>
              </w:rPr>
            </w:pPr>
          </w:p>
        </w:tc>
        <w:tc>
          <w:tcPr>
            <w:tcW w:w="2532" w:type="dxa"/>
            <w:gridSpan w:val="2"/>
            <w:tcBorders>
              <w:left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企业资质等级</w:t>
            </w:r>
          </w:p>
        </w:tc>
        <w:tc>
          <w:tcPr>
            <w:tcW w:w="7488" w:type="dxa"/>
            <w:gridSpan w:val="7"/>
            <w:tcBorders>
              <w:right w:val="single" w:color="auto" w:sz="4" w:space="0"/>
            </w:tcBorders>
            <w:vAlign w:val="center"/>
          </w:tcPr>
          <w:p>
            <w:pPr>
              <w:rPr>
                <w:rFonts w:hint="eastAsia" w:ascii="仿宋" w:hAnsi="仿宋" w:eastAsia="仿宋" w:cs="仿宋"/>
                <w:highlight w:val="none"/>
              </w:rPr>
            </w:pPr>
            <w:r>
              <w:rPr>
                <w:rFonts w:hint="eastAsia" w:ascii="仿宋" w:hAnsi="仿宋" w:eastAsia="仿宋" w:cs="仿宋"/>
                <w:highlight w:val="none"/>
              </w:rPr>
              <w:t>主项资质名称及等级：</w:t>
            </w:r>
          </w:p>
          <w:p>
            <w:pPr>
              <w:rPr>
                <w:rFonts w:hint="eastAsia" w:ascii="仿宋" w:hAnsi="仿宋" w:eastAsia="仿宋" w:cs="仿宋"/>
                <w:highlight w:val="none"/>
              </w:rPr>
            </w:pPr>
            <w:r>
              <w:rPr>
                <w:rFonts w:hint="eastAsia" w:ascii="仿宋" w:hAnsi="仿宋" w:eastAsia="仿宋" w:cs="仿宋"/>
                <w:highlight w:val="none"/>
              </w:rPr>
              <w:t>专业承包资质名称及等级：</w:t>
            </w:r>
          </w:p>
          <w:p>
            <w:pPr>
              <w:rPr>
                <w:rFonts w:hint="eastAsia" w:ascii="仿宋" w:hAnsi="仿宋" w:eastAsia="仿宋" w:cs="仿宋"/>
                <w:highlight w:val="none"/>
              </w:rPr>
            </w:pPr>
            <w:r>
              <w:rPr>
                <w:rFonts w:hint="eastAsia" w:ascii="仿宋" w:hAnsi="仿宋" w:eastAsia="仿宋" w:cs="仿宋"/>
                <w:highlight w:val="none"/>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主要服务范围</w:t>
            </w:r>
          </w:p>
        </w:tc>
        <w:tc>
          <w:tcPr>
            <w:tcW w:w="7488" w:type="dxa"/>
            <w:gridSpan w:val="7"/>
            <w:tcBorders>
              <w:right w:val="single" w:color="auto" w:sz="4" w:space="0"/>
            </w:tcBorders>
            <w:vAlign w:val="center"/>
          </w:tcPr>
          <w:p>
            <w:pPr>
              <w:jc w:val="center"/>
              <w:rPr>
                <w:rFonts w:hint="eastAsia" w:ascii="仿宋" w:hAnsi="仿宋" w:eastAsia="仿宋" w:cs="仿宋"/>
                <w:highlight w:val="none"/>
              </w:rPr>
            </w:pPr>
          </w:p>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近期主要项目或业绩</w:t>
            </w:r>
          </w:p>
        </w:tc>
        <w:tc>
          <w:tcPr>
            <w:tcW w:w="7488" w:type="dxa"/>
            <w:gridSpan w:val="7"/>
            <w:tcBorders>
              <w:right w:val="single" w:color="auto" w:sz="4" w:space="0"/>
            </w:tcBorders>
            <w:vAlign w:val="center"/>
          </w:tcPr>
          <w:p>
            <w:pPr>
              <w:jc w:val="center"/>
              <w:rPr>
                <w:rFonts w:hint="eastAsia" w:ascii="仿宋" w:hAnsi="仿宋" w:eastAsia="仿宋" w:cs="仿宋"/>
                <w:highlight w:val="none"/>
              </w:rPr>
            </w:pPr>
          </w:p>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基本开户账户号</w:t>
            </w:r>
          </w:p>
        </w:tc>
        <w:tc>
          <w:tcPr>
            <w:tcW w:w="2546" w:type="dxa"/>
            <w:gridSpan w:val="2"/>
            <w:vAlign w:val="center"/>
          </w:tcPr>
          <w:p>
            <w:pPr>
              <w:jc w:val="center"/>
              <w:rPr>
                <w:rFonts w:hint="eastAsia" w:ascii="仿宋" w:hAnsi="仿宋" w:eastAsia="仿宋" w:cs="仿宋"/>
                <w:highlight w:val="none"/>
              </w:rPr>
            </w:pPr>
          </w:p>
        </w:tc>
        <w:tc>
          <w:tcPr>
            <w:tcW w:w="2410" w:type="dxa"/>
            <w:gridSpan w:val="3"/>
            <w:vAlign w:val="center"/>
          </w:tcPr>
          <w:p>
            <w:pPr>
              <w:jc w:val="center"/>
              <w:rPr>
                <w:rFonts w:hint="eastAsia" w:ascii="仿宋" w:hAnsi="仿宋" w:eastAsia="仿宋" w:cs="仿宋"/>
                <w:highlight w:val="none"/>
              </w:rPr>
            </w:pPr>
            <w:r>
              <w:rPr>
                <w:rFonts w:hint="eastAsia" w:ascii="仿宋" w:hAnsi="仿宋" w:eastAsia="仿宋" w:cs="仿宋"/>
                <w:highlight w:val="none"/>
              </w:rPr>
              <w:t>开户银行</w:t>
            </w:r>
          </w:p>
        </w:tc>
        <w:tc>
          <w:tcPr>
            <w:tcW w:w="2532" w:type="dxa"/>
            <w:gridSpan w:val="2"/>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类别</w:t>
            </w:r>
          </w:p>
        </w:tc>
        <w:tc>
          <w:tcPr>
            <w:tcW w:w="2546" w:type="dxa"/>
            <w:gridSpan w:val="2"/>
            <w:vAlign w:val="center"/>
          </w:tcPr>
          <w:p>
            <w:pPr>
              <w:jc w:val="center"/>
              <w:rPr>
                <w:rFonts w:hint="eastAsia" w:ascii="仿宋" w:hAnsi="仿宋" w:eastAsia="仿宋" w:cs="仿宋"/>
                <w:highlight w:val="none"/>
              </w:rPr>
            </w:pPr>
            <w:r>
              <w:rPr>
                <w:rFonts w:hint="eastAsia" w:ascii="仿宋" w:hAnsi="仿宋" w:eastAsia="仿宋" w:cs="仿宋"/>
                <w:highlight w:val="none"/>
              </w:rPr>
              <w:t>证书号</w:t>
            </w:r>
          </w:p>
        </w:tc>
        <w:tc>
          <w:tcPr>
            <w:tcW w:w="2410" w:type="dxa"/>
            <w:gridSpan w:val="3"/>
            <w:vAlign w:val="center"/>
          </w:tcPr>
          <w:p>
            <w:pPr>
              <w:jc w:val="center"/>
              <w:rPr>
                <w:rFonts w:hint="eastAsia" w:ascii="仿宋" w:hAnsi="仿宋" w:eastAsia="仿宋" w:cs="仿宋"/>
                <w:highlight w:val="none"/>
              </w:rPr>
            </w:pPr>
            <w:r>
              <w:rPr>
                <w:rFonts w:hint="eastAsia" w:ascii="仿宋" w:hAnsi="仿宋" w:eastAsia="仿宋" w:cs="仿宋"/>
                <w:highlight w:val="none"/>
              </w:rPr>
              <w:t>发证机关</w:t>
            </w:r>
          </w:p>
        </w:tc>
        <w:tc>
          <w:tcPr>
            <w:tcW w:w="1183" w:type="dxa"/>
            <w:vAlign w:val="center"/>
          </w:tcPr>
          <w:p>
            <w:pPr>
              <w:jc w:val="center"/>
              <w:rPr>
                <w:rFonts w:hint="eastAsia" w:ascii="仿宋" w:hAnsi="仿宋" w:eastAsia="仿宋" w:cs="仿宋"/>
                <w:highlight w:val="none"/>
              </w:rPr>
            </w:pPr>
            <w:r>
              <w:rPr>
                <w:rFonts w:hint="eastAsia" w:ascii="仿宋" w:hAnsi="仿宋" w:eastAsia="仿宋" w:cs="仿宋"/>
                <w:highlight w:val="none"/>
              </w:rPr>
              <w:t>发证时间</w:t>
            </w:r>
          </w:p>
        </w:tc>
        <w:tc>
          <w:tcPr>
            <w:tcW w:w="1349" w:type="dxa"/>
            <w:vAlign w:val="center"/>
          </w:tcPr>
          <w:p>
            <w:pPr>
              <w:jc w:val="center"/>
              <w:rPr>
                <w:rFonts w:hint="eastAsia" w:ascii="仿宋" w:hAnsi="仿宋" w:eastAsia="仿宋" w:cs="仿宋"/>
                <w:highlight w:val="none"/>
              </w:rPr>
            </w:pPr>
            <w:r>
              <w:rPr>
                <w:rFonts w:hint="eastAsia" w:ascii="仿宋" w:hAnsi="仿宋" w:eastAsia="仿宋" w:cs="仿宋"/>
                <w:highlight w:val="none"/>
              </w:rPr>
              <w:t>有效期截至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营业执照号</w:t>
            </w:r>
          </w:p>
        </w:tc>
        <w:tc>
          <w:tcPr>
            <w:tcW w:w="2546" w:type="dxa"/>
            <w:gridSpan w:val="2"/>
            <w:vAlign w:val="center"/>
          </w:tcPr>
          <w:p>
            <w:pPr>
              <w:jc w:val="center"/>
              <w:rPr>
                <w:rFonts w:hint="eastAsia" w:ascii="仿宋" w:hAnsi="仿宋" w:eastAsia="仿宋" w:cs="仿宋"/>
                <w:highlight w:val="none"/>
              </w:rPr>
            </w:pPr>
          </w:p>
        </w:tc>
        <w:tc>
          <w:tcPr>
            <w:tcW w:w="2410" w:type="dxa"/>
            <w:gridSpan w:val="3"/>
            <w:vAlign w:val="center"/>
          </w:tcPr>
          <w:p>
            <w:pPr>
              <w:jc w:val="center"/>
              <w:rPr>
                <w:rFonts w:hint="eastAsia" w:ascii="仿宋" w:hAnsi="仿宋" w:eastAsia="仿宋" w:cs="仿宋"/>
                <w:highlight w:val="none"/>
              </w:rPr>
            </w:pPr>
          </w:p>
        </w:tc>
        <w:tc>
          <w:tcPr>
            <w:tcW w:w="1183" w:type="dxa"/>
            <w:vAlign w:val="center"/>
          </w:tcPr>
          <w:p>
            <w:pPr>
              <w:jc w:val="center"/>
              <w:rPr>
                <w:rFonts w:hint="eastAsia" w:ascii="仿宋" w:hAnsi="仿宋" w:eastAsia="仿宋" w:cs="仿宋"/>
                <w:highlight w:val="none"/>
              </w:rPr>
            </w:pPr>
          </w:p>
        </w:tc>
        <w:tc>
          <w:tcPr>
            <w:tcW w:w="1349" w:type="dxa"/>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组织机构代码证</w:t>
            </w:r>
          </w:p>
        </w:tc>
        <w:tc>
          <w:tcPr>
            <w:tcW w:w="2546" w:type="dxa"/>
            <w:gridSpan w:val="2"/>
            <w:vAlign w:val="center"/>
          </w:tcPr>
          <w:p>
            <w:pPr>
              <w:jc w:val="center"/>
              <w:rPr>
                <w:rFonts w:hint="eastAsia" w:ascii="仿宋" w:hAnsi="仿宋" w:eastAsia="仿宋" w:cs="仿宋"/>
                <w:highlight w:val="none"/>
              </w:rPr>
            </w:pPr>
          </w:p>
        </w:tc>
        <w:tc>
          <w:tcPr>
            <w:tcW w:w="2410" w:type="dxa"/>
            <w:gridSpan w:val="3"/>
            <w:vAlign w:val="center"/>
          </w:tcPr>
          <w:p>
            <w:pPr>
              <w:jc w:val="center"/>
              <w:rPr>
                <w:rFonts w:hint="eastAsia" w:ascii="仿宋" w:hAnsi="仿宋" w:eastAsia="仿宋" w:cs="仿宋"/>
                <w:highlight w:val="none"/>
              </w:rPr>
            </w:pPr>
          </w:p>
        </w:tc>
        <w:tc>
          <w:tcPr>
            <w:tcW w:w="1183" w:type="dxa"/>
            <w:vAlign w:val="center"/>
          </w:tcPr>
          <w:p>
            <w:pPr>
              <w:jc w:val="center"/>
              <w:rPr>
                <w:rFonts w:hint="eastAsia" w:ascii="仿宋" w:hAnsi="仿宋" w:eastAsia="仿宋" w:cs="仿宋"/>
                <w:highlight w:val="none"/>
              </w:rPr>
            </w:pPr>
          </w:p>
        </w:tc>
        <w:tc>
          <w:tcPr>
            <w:tcW w:w="1349" w:type="dxa"/>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s="仿宋"/>
                <w:highlight w:val="none"/>
              </w:rPr>
            </w:pPr>
            <w:r>
              <w:rPr>
                <w:rFonts w:hint="eastAsia" w:ascii="仿宋" w:hAnsi="仿宋" w:eastAsia="仿宋" w:cs="仿宋"/>
                <w:highlight w:val="none"/>
              </w:rPr>
              <w:t>税务登记证</w:t>
            </w:r>
          </w:p>
        </w:tc>
        <w:tc>
          <w:tcPr>
            <w:tcW w:w="2546" w:type="dxa"/>
            <w:gridSpan w:val="2"/>
            <w:vAlign w:val="center"/>
          </w:tcPr>
          <w:p>
            <w:pPr>
              <w:jc w:val="center"/>
              <w:rPr>
                <w:rFonts w:hint="eastAsia" w:ascii="仿宋" w:hAnsi="仿宋" w:eastAsia="仿宋" w:cs="仿宋"/>
                <w:highlight w:val="none"/>
              </w:rPr>
            </w:pPr>
          </w:p>
        </w:tc>
        <w:tc>
          <w:tcPr>
            <w:tcW w:w="2410" w:type="dxa"/>
            <w:gridSpan w:val="3"/>
            <w:vAlign w:val="center"/>
          </w:tcPr>
          <w:p>
            <w:pPr>
              <w:jc w:val="center"/>
              <w:rPr>
                <w:rFonts w:hint="eastAsia" w:ascii="仿宋" w:hAnsi="仿宋" w:eastAsia="仿宋" w:cs="仿宋"/>
                <w:highlight w:val="none"/>
              </w:rPr>
            </w:pPr>
          </w:p>
        </w:tc>
        <w:tc>
          <w:tcPr>
            <w:tcW w:w="1183" w:type="dxa"/>
            <w:vAlign w:val="center"/>
          </w:tcPr>
          <w:p>
            <w:pPr>
              <w:jc w:val="center"/>
              <w:rPr>
                <w:rFonts w:hint="eastAsia" w:ascii="仿宋" w:hAnsi="仿宋" w:eastAsia="仿宋" w:cs="仿宋"/>
                <w:highlight w:val="none"/>
              </w:rPr>
            </w:pPr>
          </w:p>
        </w:tc>
        <w:tc>
          <w:tcPr>
            <w:tcW w:w="1349" w:type="dxa"/>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jc w:val="center"/>
              <w:rPr>
                <w:rFonts w:hint="eastAsia" w:ascii="仿宋" w:hAnsi="仿宋" w:eastAsia="仿宋" w:cs="仿宋"/>
                <w:highlight w:val="none"/>
              </w:rPr>
            </w:pPr>
            <w:r>
              <w:rPr>
                <w:rFonts w:hint="eastAsia" w:ascii="仿宋" w:hAnsi="仿宋" w:eastAsia="仿宋" w:cs="仿宋"/>
                <w:highlight w:val="none"/>
              </w:rPr>
              <w:t>主项资质证书</w:t>
            </w:r>
          </w:p>
        </w:tc>
        <w:tc>
          <w:tcPr>
            <w:tcW w:w="2546" w:type="dxa"/>
            <w:gridSpan w:val="2"/>
            <w:vAlign w:val="center"/>
          </w:tcPr>
          <w:p>
            <w:pPr>
              <w:rPr>
                <w:rFonts w:hint="eastAsia" w:ascii="仿宋" w:hAnsi="仿宋" w:eastAsia="仿宋" w:cs="仿宋"/>
                <w:highlight w:val="none"/>
              </w:rPr>
            </w:pPr>
            <w:r>
              <w:rPr>
                <w:rFonts w:hint="eastAsia" w:ascii="仿宋" w:hAnsi="仿宋" w:eastAsia="仿宋" w:cs="仿宋"/>
                <w:highlight w:val="none"/>
              </w:rPr>
              <w:t>1：</w:t>
            </w:r>
          </w:p>
        </w:tc>
        <w:tc>
          <w:tcPr>
            <w:tcW w:w="2410" w:type="dxa"/>
            <w:gridSpan w:val="3"/>
            <w:vAlign w:val="center"/>
          </w:tcPr>
          <w:p>
            <w:pPr>
              <w:jc w:val="center"/>
              <w:rPr>
                <w:rFonts w:hint="eastAsia" w:ascii="仿宋" w:hAnsi="仿宋" w:eastAsia="仿宋" w:cs="仿宋"/>
                <w:highlight w:val="none"/>
              </w:rPr>
            </w:pPr>
          </w:p>
        </w:tc>
        <w:tc>
          <w:tcPr>
            <w:tcW w:w="1183" w:type="dxa"/>
            <w:vAlign w:val="center"/>
          </w:tcPr>
          <w:p>
            <w:pPr>
              <w:jc w:val="center"/>
              <w:rPr>
                <w:rFonts w:hint="eastAsia" w:ascii="仿宋" w:hAnsi="仿宋" w:eastAsia="仿宋" w:cs="仿宋"/>
                <w:highlight w:val="none"/>
              </w:rPr>
            </w:pPr>
          </w:p>
        </w:tc>
        <w:tc>
          <w:tcPr>
            <w:tcW w:w="1349" w:type="dxa"/>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cs="仿宋"/>
                <w:highlight w:val="none"/>
              </w:rPr>
            </w:pPr>
          </w:p>
        </w:tc>
        <w:tc>
          <w:tcPr>
            <w:tcW w:w="2546" w:type="dxa"/>
            <w:gridSpan w:val="2"/>
            <w:vAlign w:val="center"/>
          </w:tcPr>
          <w:p>
            <w:pPr>
              <w:rPr>
                <w:rFonts w:hint="eastAsia" w:ascii="仿宋" w:hAnsi="仿宋" w:eastAsia="仿宋" w:cs="仿宋"/>
                <w:highlight w:val="none"/>
              </w:rPr>
            </w:pPr>
            <w:r>
              <w:rPr>
                <w:rFonts w:hint="eastAsia" w:ascii="仿宋" w:hAnsi="仿宋" w:eastAsia="仿宋" w:cs="仿宋"/>
                <w:highlight w:val="none"/>
              </w:rPr>
              <w:t>2：</w:t>
            </w:r>
          </w:p>
        </w:tc>
        <w:tc>
          <w:tcPr>
            <w:tcW w:w="2410" w:type="dxa"/>
            <w:gridSpan w:val="3"/>
            <w:vAlign w:val="center"/>
          </w:tcPr>
          <w:p>
            <w:pPr>
              <w:jc w:val="center"/>
              <w:rPr>
                <w:rFonts w:hint="eastAsia" w:ascii="仿宋" w:hAnsi="仿宋" w:eastAsia="仿宋" w:cs="仿宋"/>
                <w:highlight w:val="none"/>
              </w:rPr>
            </w:pPr>
          </w:p>
        </w:tc>
        <w:tc>
          <w:tcPr>
            <w:tcW w:w="1183" w:type="dxa"/>
            <w:vAlign w:val="center"/>
          </w:tcPr>
          <w:p>
            <w:pPr>
              <w:jc w:val="center"/>
              <w:rPr>
                <w:rFonts w:hint="eastAsia" w:ascii="仿宋" w:hAnsi="仿宋" w:eastAsia="仿宋" w:cs="仿宋"/>
                <w:highlight w:val="none"/>
              </w:rPr>
            </w:pPr>
          </w:p>
        </w:tc>
        <w:tc>
          <w:tcPr>
            <w:tcW w:w="1349" w:type="dxa"/>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jc w:val="center"/>
              <w:rPr>
                <w:rFonts w:hint="eastAsia" w:ascii="仿宋" w:hAnsi="仿宋" w:eastAsia="仿宋" w:cs="仿宋"/>
                <w:highlight w:val="none"/>
              </w:rPr>
            </w:pPr>
            <w:r>
              <w:rPr>
                <w:rFonts w:hint="eastAsia" w:ascii="仿宋" w:hAnsi="仿宋" w:eastAsia="仿宋" w:cs="仿宋"/>
                <w:highlight w:val="none"/>
              </w:rPr>
              <w:t>管理体系认证证书</w:t>
            </w:r>
          </w:p>
        </w:tc>
        <w:tc>
          <w:tcPr>
            <w:tcW w:w="2546" w:type="dxa"/>
            <w:gridSpan w:val="2"/>
            <w:tcBorders>
              <w:right w:val="single" w:color="auto" w:sz="4" w:space="0"/>
            </w:tcBorders>
            <w:vAlign w:val="center"/>
          </w:tcPr>
          <w:p>
            <w:pPr>
              <w:jc w:val="left"/>
              <w:rPr>
                <w:rFonts w:hint="eastAsia" w:ascii="仿宋" w:hAnsi="仿宋" w:eastAsia="仿宋" w:cs="仿宋"/>
                <w:highlight w:val="none"/>
              </w:rPr>
            </w:pPr>
            <w:r>
              <w:rPr>
                <w:rFonts w:hint="eastAsia" w:ascii="仿宋" w:hAnsi="仿宋" w:eastAsia="仿宋" w:cs="仿宋"/>
                <w:highlight w:val="none"/>
              </w:rPr>
              <w:t>1：</w:t>
            </w:r>
          </w:p>
        </w:tc>
        <w:tc>
          <w:tcPr>
            <w:tcW w:w="2410" w:type="dxa"/>
            <w:gridSpan w:val="3"/>
            <w:tcBorders>
              <w:left w:val="single" w:color="auto" w:sz="4" w:space="0"/>
            </w:tcBorders>
            <w:vAlign w:val="center"/>
          </w:tcPr>
          <w:p>
            <w:pPr>
              <w:jc w:val="center"/>
              <w:rPr>
                <w:rFonts w:hint="eastAsia" w:ascii="仿宋" w:hAnsi="仿宋" w:eastAsia="仿宋" w:cs="仿宋"/>
                <w:highlight w:val="none"/>
              </w:rPr>
            </w:pPr>
          </w:p>
        </w:tc>
        <w:tc>
          <w:tcPr>
            <w:tcW w:w="1183" w:type="dxa"/>
            <w:tcBorders>
              <w:right w:val="single" w:color="auto" w:sz="4" w:space="0"/>
            </w:tcBorders>
            <w:vAlign w:val="center"/>
          </w:tcPr>
          <w:p>
            <w:pPr>
              <w:jc w:val="center"/>
              <w:rPr>
                <w:rFonts w:hint="eastAsia" w:ascii="仿宋" w:hAnsi="仿宋" w:eastAsia="仿宋" w:cs="仿宋"/>
                <w:highlight w:val="none"/>
              </w:rPr>
            </w:pPr>
          </w:p>
        </w:tc>
        <w:tc>
          <w:tcPr>
            <w:tcW w:w="1349" w:type="dxa"/>
            <w:tcBorders>
              <w:left w:val="single" w:color="auto" w:sz="4" w:space="0"/>
            </w:tcBorders>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cs="仿宋"/>
                <w:highlight w:val="none"/>
              </w:rPr>
            </w:pPr>
          </w:p>
        </w:tc>
        <w:tc>
          <w:tcPr>
            <w:tcW w:w="2546" w:type="dxa"/>
            <w:gridSpan w:val="2"/>
            <w:tcBorders>
              <w:right w:val="single" w:color="auto" w:sz="4" w:space="0"/>
            </w:tcBorders>
            <w:vAlign w:val="center"/>
          </w:tcPr>
          <w:p>
            <w:pPr>
              <w:jc w:val="left"/>
              <w:rPr>
                <w:rFonts w:hint="eastAsia" w:ascii="仿宋" w:hAnsi="仿宋" w:eastAsia="仿宋" w:cs="仿宋"/>
                <w:highlight w:val="none"/>
              </w:rPr>
            </w:pPr>
            <w:r>
              <w:rPr>
                <w:rFonts w:hint="eastAsia" w:ascii="仿宋" w:hAnsi="仿宋" w:eastAsia="仿宋" w:cs="仿宋"/>
                <w:highlight w:val="none"/>
              </w:rPr>
              <w:t>2：</w:t>
            </w:r>
          </w:p>
        </w:tc>
        <w:tc>
          <w:tcPr>
            <w:tcW w:w="2410" w:type="dxa"/>
            <w:gridSpan w:val="3"/>
            <w:tcBorders>
              <w:left w:val="single" w:color="auto" w:sz="4" w:space="0"/>
            </w:tcBorders>
            <w:vAlign w:val="center"/>
          </w:tcPr>
          <w:p>
            <w:pPr>
              <w:jc w:val="center"/>
              <w:rPr>
                <w:rFonts w:hint="eastAsia" w:ascii="仿宋" w:hAnsi="仿宋" w:eastAsia="仿宋" w:cs="仿宋"/>
                <w:highlight w:val="none"/>
              </w:rPr>
            </w:pPr>
          </w:p>
        </w:tc>
        <w:tc>
          <w:tcPr>
            <w:tcW w:w="1183" w:type="dxa"/>
            <w:tcBorders>
              <w:right w:val="single" w:color="auto" w:sz="4" w:space="0"/>
            </w:tcBorders>
            <w:vAlign w:val="center"/>
          </w:tcPr>
          <w:p>
            <w:pPr>
              <w:jc w:val="center"/>
              <w:rPr>
                <w:rFonts w:hint="eastAsia" w:ascii="仿宋" w:hAnsi="仿宋" w:eastAsia="仿宋" w:cs="仿宋"/>
                <w:highlight w:val="none"/>
              </w:rPr>
            </w:pPr>
          </w:p>
        </w:tc>
        <w:tc>
          <w:tcPr>
            <w:tcW w:w="1349" w:type="dxa"/>
            <w:tcBorders>
              <w:left w:val="single" w:color="auto" w:sz="4" w:space="0"/>
            </w:tcBorders>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cs="仿宋"/>
                <w:highlight w:val="none"/>
              </w:rPr>
            </w:pPr>
          </w:p>
        </w:tc>
        <w:tc>
          <w:tcPr>
            <w:tcW w:w="2546" w:type="dxa"/>
            <w:gridSpan w:val="2"/>
            <w:tcBorders>
              <w:right w:val="single" w:color="auto" w:sz="4" w:space="0"/>
            </w:tcBorders>
            <w:vAlign w:val="center"/>
          </w:tcPr>
          <w:p>
            <w:pPr>
              <w:jc w:val="left"/>
              <w:rPr>
                <w:rFonts w:hint="eastAsia" w:ascii="仿宋" w:hAnsi="仿宋" w:eastAsia="仿宋" w:cs="仿宋"/>
                <w:highlight w:val="none"/>
              </w:rPr>
            </w:pPr>
            <w:r>
              <w:rPr>
                <w:rFonts w:hint="eastAsia" w:ascii="仿宋" w:hAnsi="仿宋" w:eastAsia="仿宋" w:cs="仿宋"/>
                <w:highlight w:val="none"/>
              </w:rPr>
              <w:t>3：</w:t>
            </w:r>
          </w:p>
        </w:tc>
        <w:tc>
          <w:tcPr>
            <w:tcW w:w="2410" w:type="dxa"/>
            <w:gridSpan w:val="3"/>
            <w:tcBorders>
              <w:left w:val="single" w:color="auto" w:sz="4" w:space="0"/>
            </w:tcBorders>
            <w:vAlign w:val="center"/>
          </w:tcPr>
          <w:p>
            <w:pPr>
              <w:jc w:val="center"/>
              <w:rPr>
                <w:rFonts w:hint="eastAsia" w:ascii="仿宋" w:hAnsi="仿宋" w:eastAsia="仿宋" w:cs="仿宋"/>
                <w:highlight w:val="none"/>
              </w:rPr>
            </w:pPr>
          </w:p>
        </w:tc>
        <w:tc>
          <w:tcPr>
            <w:tcW w:w="1183" w:type="dxa"/>
            <w:tcBorders>
              <w:right w:val="single" w:color="auto" w:sz="4" w:space="0"/>
            </w:tcBorders>
            <w:vAlign w:val="center"/>
          </w:tcPr>
          <w:p>
            <w:pPr>
              <w:jc w:val="center"/>
              <w:rPr>
                <w:rFonts w:hint="eastAsia" w:ascii="仿宋" w:hAnsi="仿宋" w:eastAsia="仿宋" w:cs="仿宋"/>
                <w:highlight w:val="none"/>
              </w:rPr>
            </w:pPr>
          </w:p>
        </w:tc>
        <w:tc>
          <w:tcPr>
            <w:tcW w:w="1349" w:type="dxa"/>
            <w:tcBorders>
              <w:left w:val="single" w:color="auto" w:sz="4" w:space="0"/>
            </w:tcBorders>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jc w:val="center"/>
              <w:rPr>
                <w:rFonts w:hint="eastAsia" w:ascii="仿宋" w:hAnsi="仿宋" w:eastAsia="仿宋" w:cs="仿宋"/>
                <w:highlight w:val="none"/>
              </w:rPr>
            </w:pPr>
            <w:r>
              <w:rPr>
                <w:rFonts w:hint="eastAsia" w:ascii="仿宋" w:hAnsi="仿宋" w:eastAsia="仿宋" w:cs="仿宋"/>
                <w:highlight w:val="none"/>
              </w:rPr>
              <w:t>信用证书</w:t>
            </w:r>
          </w:p>
        </w:tc>
        <w:tc>
          <w:tcPr>
            <w:tcW w:w="2546" w:type="dxa"/>
            <w:gridSpan w:val="2"/>
            <w:tcBorders>
              <w:right w:val="single" w:color="auto" w:sz="4" w:space="0"/>
            </w:tcBorders>
            <w:vAlign w:val="center"/>
          </w:tcPr>
          <w:p>
            <w:pPr>
              <w:rPr>
                <w:rFonts w:hint="eastAsia" w:ascii="仿宋" w:hAnsi="仿宋" w:eastAsia="仿宋" w:cs="仿宋"/>
                <w:highlight w:val="none"/>
              </w:rPr>
            </w:pPr>
            <w:r>
              <w:rPr>
                <w:rFonts w:hint="eastAsia" w:ascii="仿宋" w:hAnsi="仿宋" w:eastAsia="仿宋" w:cs="仿宋"/>
                <w:highlight w:val="none"/>
              </w:rPr>
              <w:t>1：</w:t>
            </w:r>
          </w:p>
        </w:tc>
        <w:tc>
          <w:tcPr>
            <w:tcW w:w="2410" w:type="dxa"/>
            <w:gridSpan w:val="3"/>
            <w:tcBorders>
              <w:left w:val="single" w:color="auto" w:sz="4" w:space="0"/>
            </w:tcBorders>
            <w:vAlign w:val="center"/>
          </w:tcPr>
          <w:p>
            <w:pPr>
              <w:jc w:val="center"/>
              <w:rPr>
                <w:rFonts w:hint="eastAsia" w:ascii="仿宋" w:hAnsi="仿宋" w:eastAsia="仿宋" w:cs="仿宋"/>
                <w:highlight w:val="none"/>
              </w:rPr>
            </w:pPr>
          </w:p>
        </w:tc>
        <w:tc>
          <w:tcPr>
            <w:tcW w:w="1183" w:type="dxa"/>
            <w:tcBorders>
              <w:right w:val="single" w:color="auto" w:sz="4" w:space="0"/>
            </w:tcBorders>
            <w:vAlign w:val="center"/>
          </w:tcPr>
          <w:p>
            <w:pPr>
              <w:jc w:val="center"/>
              <w:rPr>
                <w:rFonts w:hint="eastAsia" w:ascii="仿宋" w:hAnsi="仿宋" w:eastAsia="仿宋" w:cs="仿宋"/>
                <w:highlight w:val="none"/>
              </w:rPr>
            </w:pPr>
          </w:p>
        </w:tc>
        <w:tc>
          <w:tcPr>
            <w:tcW w:w="1349" w:type="dxa"/>
            <w:tcBorders>
              <w:left w:val="single" w:color="auto" w:sz="4" w:space="0"/>
            </w:tcBorders>
            <w:vAlign w:val="center"/>
          </w:tcPr>
          <w:p>
            <w:pPr>
              <w:jc w:val="center"/>
              <w:rPr>
                <w:rFonts w:hint="eastAsia" w:ascii="仿宋" w:hAnsi="仿宋" w:eastAsia="仿宋" w:cs="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cs="仿宋"/>
                <w:highlight w:val="none"/>
              </w:rPr>
            </w:pPr>
          </w:p>
        </w:tc>
        <w:tc>
          <w:tcPr>
            <w:tcW w:w="2546" w:type="dxa"/>
            <w:gridSpan w:val="2"/>
            <w:tcBorders>
              <w:right w:val="single" w:color="auto" w:sz="4" w:space="0"/>
            </w:tcBorders>
            <w:vAlign w:val="center"/>
          </w:tcPr>
          <w:p>
            <w:pPr>
              <w:rPr>
                <w:rFonts w:hint="eastAsia" w:ascii="仿宋" w:hAnsi="仿宋" w:eastAsia="仿宋" w:cs="仿宋"/>
                <w:highlight w:val="none"/>
              </w:rPr>
            </w:pPr>
            <w:r>
              <w:rPr>
                <w:rFonts w:hint="eastAsia" w:ascii="仿宋" w:hAnsi="仿宋" w:eastAsia="仿宋" w:cs="仿宋"/>
                <w:highlight w:val="none"/>
              </w:rPr>
              <w:t>2：</w:t>
            </w:r>
          </w:p>
        </w:tc>
        <w:tc>
          <w:tcPr>
            <w:tcW w:w="2410" w:type="dxa"/>
            <w:gridSpan w:val="3"/>
            <w:tcBorders>
              <w:left w:val="single" w:color="auto" w:sz="4" w:space="0"/>
            </w:tcBorders>
            <w:vAlign w:val="center"/>
          </w:tcPr>
          <w:p>
            <w:pPr>
              <w:jc w:val="center"/>
              <w:rPr>
                <w:rFonts w:hint="eastAsia" w:ascii="仿宋" w:hAnsi="仿宋" w:eastAsia="仿宋" w:cs="仿宋"/>
                <w:highlight w:val="none"/>
              </w:rPr>
            </w:pPr>
          </w:p>
        </w:tc>
        <w:tc>
          <w:tcPr>
            <w:tcW w:w="1183" w:type="dxa"/>
            <w:tcBorders>
              <w:right w:val="single" w:color="auto" w:sz="4" w:space="0"/>
            </w:tcBorders>
            <w:vAlign w:val="center"/>
          </w:tcPr>
          <w:p>
            <w:pPr>
              <w:jc w:val="center"/>
              <w:rPr>
                <w:rFonts w:hint="eastAsia" w:ascii="仿宋" w:hAnsi="仿宋" w:eastAsia="仿宋" w:cs="仿宋"/>
                <w:highlight w:val="none"/>
              </w:rPr>
            </w:pPr>
          </w:p>
        </w:tc>
        <w:tc>
          <w:tcPr>
            <w:tcW w:w="1349" w:type="dxa"/>
            <w:tcBorders>
              <w:left w:val="single" w:color="auto" w:sz="4" w:space="0"/>
            </w:tcBorders>
            <w:vAlign w:val="center"/>
          </w:tcPr>
          <w:p>
            <w:pPr>
              <w:jc w:val="center"/>
              <w:rPr>
                <w:rFonts w:hint="eastAsia" w:ascii="仿宋" w:hAnsi="仿宋" w:eastAsia="仿宋" w:cs="仿宋"/>
                <w:highlight w:val="none"/>
              </w:rPr>
            </w:pPr>
          </w:p>
        </w:tc>
      </w:tr>
    </w:tbl>
    <w:p>
      <w:pPr>
        <w:ind w:right="210"/>
        <w:jc w:val="left"/>
        <w:rPr>
          <w:rFonts w:hint="eastAsia" w:ascii="仿宋" w:hAnsi="仿宋" w:eastAsia="仿宋" w:cs="仿宋"/>
          <w:highlight w:val="none"/>
        </w:rPr>
      </w:pPr>
    </w:p>
    <w:p>
      <w:pPr>
        <w:ind w:right="210"/>
        <w:jc w:val="left"/>
        <w:rPr>
          <w:rFonts w:hint="eastAsia" w:ascii="仿宋" w:hAnsi="仿宋" w:eastAsia="仿宋" w:cs="仿宋"/>
          <w:highlight w:val="none"/>
        </w:rPr>
      </w:pPr>
    </w:p>
    <w:p>
      <w:pPr>
        <w:ind w:right="210"/>
        <w:jc w:val="left"/>
        <w:rPr>
          <w:rFonts w:hint="eastAsia" w:ascii="仿宋" w:hAnsi="仿宋" w:eastAsia="仿宋" w:cs="仿宋"/>
          <w:highlight w:val="none"/>
        </w:rPr>
      </w:pPr>
    </w:p>
    <w:p>
      <w:pPr>
        <w:pStyle w:val="5"/>
        <w:numPr>
          <w:ilvl w:val="0"/>
          <w:numId w:val="18"/>
        </w:numPr>
        <w:rPr>
          <w:rFonts w:hint="eastAsia" w:cs="仿宋"/>
          <w:highlight w:val="none"/>
        </w:rPr>
      </w:pPr>
      <w:bookmarkStart w:id="202" w:name="_Toc249321905"/>
      <w:bookmarkStart w:id="203" w:name="_Toc111542003"/>
      <w:bookmarkStart w:id="204" w:name="_Toc249266245"/>
      <w:bookmarkStart w:id="205" w:name="_Toc837"/>
      <w:bookmarkStart w:id="206" w:name="_Toc249329170"/>
      <w:bookmarkStart w:id="207" w:name="_Toc77590253"/>
      <w:r>
        <w:rPr>
          <w:rFonts w:hint="eastAsia" w:cs="仿宋"/>
          <w:highlight w:val="none"/>
        </w:rPr>
        <w:t>竞谈响应人资格审查文件</w:t>
      </w:r>
      <w:bookmarkEnd w:id="202"/>
      <w:bookmarkEnd w:id="203"/>
      <w:bookmarkEnd w:id="204"/>
      <w:bookmarkEnd w:id="205"/>
      <w:bookmarkEnd w:id="206"/>
      <w:bookmarkEnd w:id="207"/>
    </w:p>
    <w:p>
      <w:pPr>
        <w:numPr>
          <w:ilvl w:val="0"/>
          <w:numId w:val="20"/>
        </w:numPr>
        <w:jc w:val="left"/>
        <w:outlineLvl w:val="1"/>
        <w:rPr>
          <w:rFonts w:hint="eastAsia" w:ascii="仿宋" w:hAnsi="仿宋" w:eastAsia="仿宋" w:cs="仿宋"/>
          <w:sz w:val="24"/>
          <w:highlight w:val="none"/>
        </w:rPr>
      </w:pPr>
      <w:r>
        <w:rPr>
          <w:rFonts w:hint="eastAsia" w:ascii="仿宋" w:hAnsi="仿宋" w:eastAsia="仿宋" w:cs="仿宋"/>
          <w:sz w:val="24"/>
          <w:highlight w:val="none"/>
        </w:rPr>
        <w:t>法定代表人资格证明书</w:t>
      </w:r>
    </w:p>
    <w:p>
      <w:pPr>
        <w:numPr>
          <w:ilvl w:val="0"/>
          <w:numId w:val="20"/>
        </w:numPr>
        <w:jc w:val="left"/>
        <w:outlineLvl w:val="1"/>
        <w:rPr>
          <w:rFonts w:hint="eastAsia" w:ascii="仿宋" w:hAnsi="仿宋" w:eastAsia="仿宋" w:cs="仿宋"/>
          <w:sz w:val="24"/>
          <w:highlight w:val="none"/>
        </w:rPr>
      </w:pPr>
      <w:r>
        <w:rPr>
          <w:rFonts w:hint="eastAsia" w:ascii="仿宋" w:hAnsi="仿宋" w:eastAsia="仿宋" w:cs="仿宋"/>
          <w:sz w:val="24"/>
          <w:highlight w:val="none"/>
        </w:rPr>
        <w:t>营业执照复印件（加盖公章）</w:t>
      </w:r>
    </w:p>
    <w:p>
      <w:pPr>
        <w:numPr>
          <w:ilvl w:val="0"/>
          <w:numId w:val="20"/>
        </w:numPr>
        <w:jc w:val="left"/>
        <w:outlineLvl w:val="1"/>
        <w:rPr>
          <w:rFonts w:hint="eastAsia" w:ascii="仿宋" w:hAnsi="仿宋" w:eastAsia="仿宋" w:cs="仿宋"/>
          <w:sz w:val="24"/>
          <w:highlight w:val="none"/>
        </w:rPr>
      </w:pPr>
      <w:r>
        <w:rPr>
          <w:rFonts w:hint="eastAsia" w:ascii="仿宋" w:hAnsi="仿宋" w:eastAsia="仿宋" w:cs="仿宋"/>
          <w:sz w:val="24"/>
          <w:highlight w:val="none"/>
        </w:rPr>
        <w:t>信息技术服务管理体系认证证书</w:t>
      </w:r>
      <w:r>
        <w:rPr>
          <w:rFonts w:hint="eastAsia" w:ascii="仿宋" w:hAnsi="仿宋" w:eastAsia="仿宋" w:cs="仿宋"/>
          <w:sz w:val="24"/>
          <w:highlight w:val="none"/>
          <w:lang w:eastAsia="zh-CN"/>
        </w:rPr>
        <w:t>，</w:t>
      </w:r>
      <w:r>
        <w:rPr>
          <w:rFonts w:hint="eastAsia" w:ascii="仿宋" w:hAnsi="仿宋" w:eastAsia="仿宋" w:cs="仿宋"/>
          <w:sz w:val="24"/>
          <w:highlight w:val="none"/>
        </w:rPr>
        <w:t>信息安全管理体系认证证书</w:t>
      </w:r>
    </w:p>
    <w:p>
      <w:pPr>
        <w:numPr>
          <w:ilvl w:val="0"/>
          <w:numId w:val="20"/>
        </w:numPr>
        <w:jc w:val="left"/>
        <w:outlineLvl w:val="1"/>
        <w:rPr>
          <w:rFonts w:hint="eastAsia" w:ascii="仿宋" w:hAnsi="仿宋" w:eastAsia="仿宋" w:cs="仿宋"/>
          <w:sz w:val="24"/>
          <w:highlight w:val="none"/>
        </w:rPr>
      </w:pPr>
      <w:r>
        <w:rPr>
          <w:rFonts w:hint="eastAsia" w:ascii="仿宋" w:hAnsi="仿宋" w:eastAsia="仿宋" w:cs="仿宋"/>
          <w:sz w:val="24"/>
          <w:highlight w:val="none"/>
        </w:rPr>
        <w:t>竞谈响应人最近两年资产负债表、利润及利润分配表和现金流量表等会计报表（加盖公章）</w:t>
      </w:r>
    </w:p>
    <w:p>
      <w:pPr>
        <w:jc w:val="right"/>
        <w:rPr>
          <w:rFonts w:hint="eastAsia" w:ascii="仿宋" w:hAnsi="仿宋" w:eastAsia="仿宋" w:cs="仿宋"/>
          <w:sz w:val="28"/>
          <w:szCs w:val="28"/>
          <w:highlight w:val="none"/>
        </w:rPr>
      </w:pPr>
    </w:p>
    <w:p>
      <w:pPr>
        <w:pStyle w:val="8"/>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8"/>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8"/>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8"/>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8"/>
        <w:rPr>
          <w:rFonts w:hint="eastAsia" w:ascii="仿宋" w:hAnsi="仿宋" w:eastAsia="仿宋" w:cs="仿宋"/>
          <w:highlight w:val="none"/>
        </w:rPr>
      </w:pPr>
    </w:p>
    <w:p>
      <w:pPr>
        <w:jc w:val="right"/>
        <w:rPr>
          <w:rFonts w:hint="eastAsia" w:ascii="仿宋" w:hAnsi="仿宋" w:eastAsia="仿宋" w:cs="仿宋"/>
          <w:sz w:val="28"/>
          <w:szCs w:val="28"/>
          <w:highlight w:val="none"/>
        </w:rPr>
      </w:pPr>
    </w:p>
    <w:p>
      <w:pPr>
        <w:jc w:val="right"/>
        <w:rPr>
          <w:rFonts w:hint="eastAsia" w:ascii="仿宋" w:hAnsi="仿宋" w:eastAsia="仿宋" w:cs="仿宋"/>
          <w:sz w:val="28"/>
          <w:szCs w:val="28"/>
          <w:highlight w:val="none"/>
        </w:rPr>
      </w:pPr>
    </w:p>
    <w:p>
      <w:pPr>
        <w:jc w:val="right"/>
        <w:rPr>
          <w:rFonts w:hint="eastAsia" w:ascii="仿宋" w:hAnsi="仿宋" w:eastAsia="仿宋" w:cs="仿宋"/>
          <w:sz w:val="28"/>
          <w:szCs w:val="28"/>
          <w:highlight w:val="none"/>
        </w:rPr>
      </w:pPr>
    </w:p>
    <w:p>
      <w:pPr>
        <w:jc w:val="right"/>
        <w:rPr>
          <w:rFonts w:hint="eastAsia" w:ascii="仿宋" w:hAnsi="仿宋" w:eastAsia="仿宋" w:cs="仿宋"/>
          <w:sz w:val="28"/>
          <w:szCs w:val="28"/>
          <w:highlight w:val="none"/>
        </w:rPr>
      </w:pPr>
    </w:p>
    <w:p>
      <w:pPr>
        <w:jc w:val="right"/>
        <w:rPr>
          <w:rFonts w:hint="eastAsia" w:ascii="仿宋" w:hAnsi="仿宋" w:eastAsia="仿宋" w:cs="仿宋"/>
          <w:sz w:val="28"/>
          <w:szCs w:val="28"/>
          <w:highlight w:val="none"/>
        </w:rPr>
      </w:pPr>
    </w:p>
    <w:p>
      <w:pPr>
        <w:jc w:val="right"/>
        <w:rPr>
          <w:rFonts w:hint="eastAsia" w:ascii="仿宋" w:hAnsi="仿宋" w:eastAsia="仿宋" w:cs="仿宋"/>
          <w:sz w:val="28"/>
          <w:szCs w:val="28"/>
          <w:highlight w:val="none"/>
        </w:rPr>
      </w:pPr>
    </w:p>
    <w:p>
      <w:pPr>
        <w:rPr>
          <w:rFonts w:hint="eastAsia" w:ascii="仿宋" w:hAnsi="仿宋" w:eastAsia="仿宋" w:cs="仿宋"/>
          <w:highlight w:val="none"/>
        </w:rPr>
      </w:pPr>
    </w:p>
    <w:p>
      <w:pPr>
        <w:pStyle w:val="5"/>
        <w:numPr>
          <w:ilvl w:val="0"/>
          <w:numId w:val="18"/>
        </w:numPr>
        <w:rPr>
          <w:rFonts w:hint="eastAsia" w:cs="仿宋"/>
          <w:highlight w:val="none"/>
        </w:rPr>
      </w:pPr>
      <w:bookmarkStart w:id="208" w:name="_Toc433814135"/>
      <w:bookmarkStart w:id="209" w:name="_Toc58490820"/>
      <w:bookmarkStart w:id="210" w:name="_Toc337496474"/>
      <w:r>
        <w:rPr>
          <w:rFonts w:hint="eastAsia" w:cs="仿宋"/>
          <w:highlight w:val="none"/>
        </w:rPr>
        <w:t>类似业绩</w:t>
      </w:r>
      <w:bookmarkEnd w:id="208"/>
      <w:bookmarkEnd w:id="209"/>
      <w:r>
        <w:rPr>
          <w:rFonts w:hint="eastAsia" w:cs="仿宋"/>
          <w:highlight w:val="none"/>
        </w:rPr>
        <w:t>证明</w:t>
      </w:r>
    </w:p>
    <w:p>
      <w:pPr>
        <w:rPr>
          <w:rFonts w:hint="eastAsia" w:ascii="仿宋" w:hAnsi="仿宋" w:eastAsia="仿宋" w:cs="仿宋"/>
          <w:sz w:val="24"/>
          <w:highlight w:val="none"/>
        </w:rPr>
      </w:pPr>
    </w:p>
    <w:tbl>
      <w:tblPr>
        <w:tblStyle w:val="21"/>
        <w:tblW w:w="935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710"/>
        <w:gridCol w:w="2118"/>
        <w:gridCol w:w="1920"/>
        <w:gridCol w:w="1428"/>
        <w:gridCol w:w="317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710" w:type="dxa"/>
            <w:vAlign w:val="center"/>
          </w:tcPr>
          <w:p>
            <w:pPr>
              <w:spacing w:before="93" w:after="93"/>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2118" w:type="dxa"/>
            <w:vAlign w:val="center"/>
          </w:tcPr>
          <w:p>
            <w:pPr>
              <w:spacing w:before="93" w:after="93"/>
              <w:jc w:val="center"/>
              <w:rPr>
                <w:rFonts w:hint="eastAsia" w:ascii="仿宋" w:hAnsi="仿宋" w:eastAsia="仿宋" w:cs="仿宋"/>
                <w:szCs w:val="21"/>
                <w:highlight w:val="none"/>
              </w:rPr>
            </w:pPr>
            <w:r>
              <w:rPr>
                <w:rFonts w:hint="eastAsia" w:ascii="仿宋" w:hAnsi="仿宋" w:eastAsia="仿宋" w:cs="仿宋"/>
                <w:szCs w:val="21"/>
                <w:highlight w:val="none"/>
              </w:rPr>
              <w:t>项目名称</w:t>
            </w:r>
          </w:p>
        </w:tc>
        <w:tc>
          <w:tcPr>
            <w:tcW w:w="1920" w:type="dxa"/>
          </w:tcPr>
          <w:p>
            <w:pPr>
              <w:spacing w:before="93" w:after="93"/>
              <w:jc w:val="center"/>
              <w:rPr>
                <w:rFonts w:hint="eastAsia" w:ascii="仿宋" w:hAnsi="仿宋" w:eastAsia="仿宋" w:cs="仿宋"/>
                <w:szCs w:val="21"/>
                <w:highlight w:val="none"/>
              </w:rPr>
            </w:pPr>
            <w:r>
              <w:rPr>
                <w:rFonts w:hint="eastAsia" w:ascii="仿宋" w:hAnsi="仿宋" w:eastAsia="仿宋" w:cs="仿宋"/>
                <w:szCs w:val="21"/>
                <w:highlight w:val="none"/>
              </w:rPr>
              <w:t>合同金额（元）</w:t>
            </w:r>
          </w:p>
        </w:tc>
        <w:tc>
          <w:tcPr>
            <w:tcW w:w="1428" w:type="dxa"/>
            <w:vAlign w:val="center"/>
          </w:tcPr>
          <w:p>
            <w:pPr>
              <w:tabs>
                <w:tab w:val="left" w:pos="459"/>
              </w:tabs>
              <w:spacing w:before="93" w:after="93"/>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交付日期</w:t>
            </w:r>
          </w:p>
        </w:tc>
        <w:tc>
          <w:tcPr>
            <w:tcW w:w="3177" w:type="dxa"/>
            <w:vAlign w:val="center"/>
          </w:tcPr>
          <w:p>
            <w:pPr>
              <w:spacing w:before="93" w:after="93"/>
              <w:jc w:val="center"/>
              <w:rPr>
                <w:rFonts w:hint="eastAsia" w:ascii="仿宋" w:hAnsi="仿宋" w:eastAsia="仿宋" w:cs="仿宋"/>
                <w:szCs w:val="21"/>
                <w:highlight w:val="none"/>
              </w:rPr>
            </w:pPr>
            <w:r>
              <w:rPr>
                <w:rFonts w:hint="eastAsia" w:ascii="仿宋" w:hAnsi="仿宋" w:eastAsia="仿宋" w:cs="仿宋"/>
                <w:szCs w:val="21"/>
                <w:highlight w:val="none"/>
              </w:rPr>
              <w:t>工作内容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710" w:type="dxa"/>
            <w:vAlign w:val="center"/>
          </w:tcPr>
          <w:p>
            <w:pPr>
              <w:spacing w:before="93" w:after="93"/>
              <w:jc w:val="center"/>
              <w:rPr>
                <w:rFonts w:hint="eastAsia" w:ascii="仿宋" w:hAnsi="仿宋" w:eastAsia="仿宋" w:cs="仿宋"/>
                <w:szCs w:val="21"/>
                <w:highlight w:val="none"/>
              </w:rPr>
            </w:pPr>
          </w:p>
        </w:tc>
        <w:tc>
          <w:tcPr>
            <w:tcW w:w="2118" w:type="dxa"/>
            <w:vAlign w:val="center"/>
          </w:tcPr>
          <w:p>
            <w:pPr>
              <w:spacing w:before="93" w:after="93"/>
              <w:jc w:val="center"/>
              <w:rPr>
                <w:rFonts w:hint="eastAsia" w:ascii="仿宋" w:hAnsi="仿宋" w:eastAsia="仿宋" w:cs="仿宋"/>
                <w:szCs w:val="21"/>
                <w:highlight w:val="none"/>
              </w:rPr>
            </w:pPr>
          </w:p>
        </w:tc>
        <w:tc>
          <w:tcPr>
            <w:tcW w:w="1920" w:type="dxa"/>
          </w:tcPr>
          <w:p>
            <w:pPr>
              <w:spacing w:before="93" w:after="93"/>
              <w:jc w:val="center"/>
              <w:rPr>
                <w:rFonts w:hint="eastAsia" w:ascii="仿宋" w:hAnsi="仿宋" w:eastAsia="仿宋" w:cs="仿宋"/>
                <w:szCs w:val="21"/>
                <w:highlight w:val="none"/>
              </w:rPr>
            </w:pPr>
          </w:p>
        </w:tc>
        <w:tc>
          <w:tcPr>
            <w:tcW w:w="1428" w:type="dxa"/>
            <w:vAlign w:val="center"/>
          </w:tcPr>
          <w:p>
            <w:pPr>
              <w:spacing w:before="93" w:after="93"/>
              <w:jc w:val="center"/>
              <w:rPr>
                <w:rFonts w:hint="eastAsia" w:ascii="仿宋" w:hAnsi="仿宋" w:eastAsia="仿宋" w:cs="仿宋"/>
                <w:szCs w:val="21"/>
                <w:highlight w:val="none"/>
              </w:rPr>
            </w:pPr>
          </w:p>
        </w:tc>
        <w:tc>
          <w:tcPr>
            <w:tcW w:w="3177" w:type="dxa"/>
            <w:vAlign w:val="center"/>
          </w:tcPr>
          <w:p>
            <w:pPr>
              <w:spacing w:before="93" w:after="93"/>
              <w:jc w:val="center"/>
              <w:rPr>
                <w:rFonts w:hint="eastAsia"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710" w:type="dxa"/>
            <w:vAlign w:val="center"/>
          </w:tcPr>
          <w:p>
            <w:pPr>
              <w:spacing w:before="93" w:after="93"/>
              <w:jc w:val="center"/>
              <w:rPr>
                <w:rFonts w:hint="eastAsia" w:ascii="仿宋" w:hAnsi="仿宋" w:eastAsia="仿宋" w:cs="仿宋"/>
                <w:szCs w:val="21"/>
                <w:highlight w:val="none"/>
              </w:rPr>
            </w:pPr>
          </w:p>
        </w:tc>
        <w:tc>
          <w:tcPr>
            <w:tcW w:w="2118" w:type="dxa"/>
            <w:vAlign w:val="center"/>
          </w:tcPr>
          <w:p>
            <w:pPr>
              <w:spacing w:before="93" w:after="93"/>
              <w:jc w:val="center"/>
              <w:rPr>
                <w:rFonts w:hint="eastAsia" w:ascii="仿宋" w:hAnsi="仿宋" w:eastAsia="仿宋" w:cs="仿宋"/>
                <w:szCs w:val="21"/>
                <w:highlight w:val="none"/>
              </w:rPr>
            </w:pPr>
          </w:p>
        </w:tc>
        <w:tc>
          <w:tcPr>
            <w:tcW w:w="1920" w:type="dxa"/>
          </w:tcPr>
          <w:p>
            <w:pPr>
              <w:spacing w:before="93" w:after="93"/>
              <w:jc w:val="center"/>
              <w:rPr>
                <w:rFonts w:hint="eastAsia" w:ascii="仿宋" w:hAnsi="仿宋" w:eastAsia="仿宋" w:cs="仿宋"/>
                <w:szCs w:val="21"/>
                <w:highlight w:val="none"/>
              </w:rPr>
            </w:pPr>
          </w:p>
        </w:tc>
        <w:tc>
          <w:tcPr>
            <w:tcW w:w="1428" w:type="dxa"/>
            <w:vAlign w:val="center"/>
          </w:tcPr>
          <w:p>
            <w:pPr>
              <w:spacing w:before="93" w:after="93"/>
              <w:jc w:val="center"/>
              <w:rPr>
                <w:rFonts w:hint="eastAsia" w:ascii="仿宋" w:hAnsi="仿宋" w:eastAsia="仿宋" w:cs="仿宋"/>
                <w:szCs w:val="21"/>
                <w:highlight w:val="none"/>
              </w:rPr>
            </w:pPr>
          </w:p>
        </w:tc>
        <w:tc>
          <w:tcPr>
            <w:tcW w:w="3177" w:type="dxa"/>
            <w:vAlign w:val="center"/>
          </w:tcPr>
          <w:p>
            <w:pPr>
              <w:spacing w:before="93" w:after="93"/>
              <w:jc w:val="center"/>
              <w:rPr>
                <w:rFonts w:hint="eastAsia"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710" w:type="dxa"/>
            <w:vAlign w:val="center"/>
          </w:tcPr>
          <w:p>
            <w:pPr>
              <w:spacing w:before="93" w:after="93"/>
              <w:jc w:val="center"/>
              <w:rPr>
                <w:rFonts w:hint="eastAsia" w:ascii="仿宋" w:hAnsi="仿宋" w:eastAsia="仿宋" w:cs="仿宋"/>
                <w:szCs w:val="21"/>
                <w:highlight w:val="none"/>
              </w:rPr>
            </w:pPr>
          </w:p>
        </w:tc>
        <w:tc>
          <w:tcPr>
            <w:tcW w:w="2118" w:type="dxa"/>
            <w:vAlign w:val="center"/>
          </w:tcPr>
          <w:p>
            <w:pPr>
              <w:spacing w:before="93" w:after="93"/>
              <w:jc w:val="center"/>
              <w:rPr>
                <w:rFonts w:hint="eastAsia" w:ascii="仿宋" w:hAnsi="仿宋" w:eastAsia="仿宋" w:cs="仿宋"/>
                <w:szCs w:val="21"/>
                <w:highlight w:val="none"/>
              </w:rPr>
            </w:pPr>
          </w:p>
        </w:tc>
        <w:tc>
          <w:tcPr>
            <w:tcW w:w="1920" w:type="dxa"/>
          </w:tcPr>
          <w:p>
            <w:pPr>
              <w:spacing w:before="93" w:after="93"/>
              <w:jc w:val="center"/>
              <w:rPr>
                <w:rFonts w:hint="eastAsia" w:ascii="仿宋" w:hAnsi="仿宋" w:eastAsia="仿宋" w:cs="仿宋"/>
                <w:szCs w:val="21"/>
                <w:highlight w:val="none"/>
              </w:rPr>
            </w:pPr>
          </w:p>
        </w:tc>
        <w:tc>
          <w:tcPr>
            <w:tcW w:w="1428" w:type="dxa"/>
            <w:vAlign w:val="center"/>
          </w:tcPr>
          <w:p>
            <w:pPr>
              <w:spacing w:before="93" w:after="93"/>
              <w:jc w:val="center"/>
              <w:rPr>
                <w:rFonts w:hint="eastAsia" w:ascii="仿宋" w:hAnsi="仿宋" w:eastAsia="仿宋" w:cs="仿宋"/>
                <w:szCs w:val="21"/>
                <w:highlight w:val="none"/>
              </w:rPr>
            </w:pPr>
          </w:p>
        </w:tc>
        <w:tc>
          <w:tcPr>
            <w:tcW w:w="3177" w:type="dxa"/>
            <w:vAlign w:val="center"/>
          </w:tcPr>
          <w:p>
            <w:pPr>
              <w:spacing w:before="93" w:after="93"/>
              <w:jc w:val="center"/>
              <w:rPr>
                <w:rFonts w:hint="eastAsia"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710" w:type="dxa"/>
            <w:vAlign w:val="center"/>
          </w:tcPr>
          <w:p>
            <w:pPr>
              <w:spacing w:before="93" w:after="93"/>
              <w:jc w:val="center"/>
              <w:rPr>
                <w:rFonts w:hint="eastAsia" w:ascii="仿宋" w:hAnsi="仿宋" w:eastAsia="仿宋" w:cs="仿宋"/>
                <w:szCs w:val="21"/>
                <w:highlight w:val="none"/>
              </w:rPr>
            </w:pPr>
          </w:p>
        </w:tc>
        <w:tc>
          <w:tcPr>
            <w:tcW w:w="2118" w:type="dxa"/>
            <w:vAlign w:val="center"/>
          </w:tcPr>
          <w:p>
            <w:pPr>
              <w:spacing w:before="93" w:after="93"/>
              <w:jc w:val="center"/>
              <w:rPr>
                <w:rFonts w:hint="eastAsia" w:ascii="仿宋" w:hAnsi="仿宋" w:eastAsia="仿宋" w:cs="仿宋"/>
                <w:szCs w:val="21"/>
                <w:highlight w:val="none"/>
              </w:rPr>
            </w:pPr>
          </w:p>
        </w:tc>
        <w:tc>
          <w:tcPr>
            <w:tcW w:w="1920" w:type="dxa"/>
          </w:tcPr>
          <w:p>
            <w:pPr>
              <w:spacing w:before="93" w:after="93"/>
              <w:jc w:val="center"/>
              <w:rPr>
                <w:rFonts w:hint="eastAsia" w:ascii="仿宋" w:hAnsi="仿宋" w:eastAsia="仿宋" w:cs="仿宋"/>
                <w:szCs w:val="21"/>
                <w:highlight w:val="none"/>
              </w:rPr>
            </w:pPr>
          </w:p>
        </w:tc>
        <w:tc>
          <w:tcPr>
            <w:tcW w:w="1428" w:type="dxa"/>
            <w:vAlign w:val="center"/>
          </w:tcPr>
          <w:p>
            <w:pPr>
              <w:spacing w:before="93" w:after="93"/>
              <w:jc w:val="center"/>
              <w:rPr>
                <w:rFonts w:hint="eastAsia" w:ascii="仿宋" w:hAnsi="仿宋" w:eastAsia="仿宋" w:cs="仿宋"/>
                <w:szCs w:val="21"/>
                <w:highlight w:val="none"/>
              </w:rPr>
            </w:pPr>
          </w:p>
        </w:tc>
        <w:tc>
          <w:tcPr>
            <w:tcW w:w="3177" w:type="dxa"/>
            <w:vAlign w:val="center"/>
          </w:tcPr>
          <w:p>
            <w:pPr>
              <w:spacing w:before="93" w:after="93"/>
              <w:jc w:val="center"/>
              <w:rPr>
                <w:rFonts w:hint="eastAsia"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710" w:type="dxa"/>
            <w:vAlign w:val="center"/>
          </w:tcPr>
          <w:p>
            <w:pPr>
              <w:spacing w:before="93" w:after="93"/>
              <w:jc w:val="center"/>
              <w:rPr>
                <w:rFonts w:hint="eastAsia" w:ascii="仿宋" w:hAnsi="仿宋" w:eastAsia="仿宋" w:cs="仿宋"/>
                <w:szCs w:val="21"/>
                <w:highlight w:val="none"/>
              </w:rPr>
            </w:pPr>
          </w:p>
        </w:tc>
        <w:tc>
          <w:tcPr>
            <w:tcW w:w="2118" w:type="dxa"/>
            <w:vAlign w:val="center"/>
          </w:tcPr>
          <w:p>
            <w:pPr>
              <w:spacing w:before="93" w:after="93"/>
              <w:jc w:val="center"/>
              <w:rPr>
                <w:rFonts w:hint="eastAsia" w:ascii="仿宋" w:hAnsi="仿宋" w:eastAsia="仿宋" w:cs="仿宋"/>
                <w:szCs w:val="21"/>
                <w:highlight w:val="none"/>
              </w:rPr>
            </w:pPr>
          </w:p>
        </w:tc>
        <w:tc>
          <w:tcPr>
            <w:tcW w:w="1920" w:type="dxa"/>
          </w:tcPr>
          <w:p>
            <w:pPr>
              <w:spacing w:before="93" w:after="93"/>
              <w:jc w:val="center"/>
              <w:rPr>
                <w:rFonts w:hint="eastAsia" w:ascii="仿宋" w:hAnsi="仿宋" w:eastAsia="仿宋" w:cs="仿宋"/>
                <w:szCs w:val="21"/>
                <w:highlight w:val="none"/>
              </w:rPr>
            </w:pPr>
          </w:p>
        </w:tc>
        <w:tc>
          <w:tcPr>
            <w:tcW w:w="1428" w:type="dxa"/>
            <w:vAlign w:val="center"/>
          </w:tcPr>
          <w:p>
            <w:pPr>
              <w:spacing w:before="93" w:after="93"/>
              <w:jc w:val="center"/>
              <w:rPr>
                <w:rFonts w:hint="eastAsia" w:ascii="仿宋" w:hAnsi="仿宋" w:eastAsia="仿宋" w:cs="仿宋"/>
                <w:szCs w:val="21"/>
                <w:highlight w:val="none"/>
              </w:rPr>
            </w:pPr>
          </w:p>
        </w:tc>
        <w:tc>
          <w:tcPr>
            <w:tcW w:w="3177" w:type="dxa"/>
            <w:vAlign w:val="center"/>
          </w:tcPr>
          <w:p>
            <w:pPr>
              <w:spacing w:before="93" w:after="93"/>
              <w:jc w:val="center"/>
              <w:rPr>
                <w:rFonts w:hint="eastAsia" w:ascii="仿宋" w:hAnsi="仿宋" w:eastAsia="仿宋" w:cs="仿宋"/>
                <w:szCs w:val="21"/>
                <w:highlight w:val="none"/>
              </w:rPr>
            </w:pPr>
          </w:p>
        </w:tc>
      </w:tr>
    </w:tbl>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highlight w:val="none"/>
        </w:rPr>
      </w:pPr>
      <w:r>
        <w:rPr>
          <w:rFonts w:hint="eastAsia" w:ascii="仿宋" w:hAnsi="仿宋" w:eastAsia="仿宋" w:cs="仿宋"/>
          <w:sz w:val="24"/>
          <w:highlight w:val="none"/>
        </w:rPr>
        <w:t>备注：请提供有关案例业绩证明文件。</w:t>
      </w:r>
    </w:p>
    <w:p>
      <w:pPr>
        <w:rPr>
          <w:rFonts w:hint="eastAsia" w:ascii="仿宋" w:hAnsi="仿宋" w:eastAsia="仿宋" w:cs="仿宋"/>
          <w:highlight w:val="none"/>
        </w:rPr>
      </w:pPr>
    </w:p>
    <w:p>
      <w:pPr>
        <w:rPr>
          <w:rFonts w:hint="eastAsia" w:ascii="仿宋" w:hAnsi="仿宋" w:eastAsia="仿宋" w:cs="仿宋"/>
          <w:highlight w:val="none"/>
        </w:rPr>
      </w:pPr>
    </w:p>
    <w:p>
      <w:pPr>
        <w:ind w:firstLine="480"/>
        <w:rPr>
          <w:rFonts w:hint="eastAsia" w:ascii="仿宋" w:hAnsi="仿宋" w:eastAsia="仿宋" w:cs="仿宋"/>
          <w:highlight w:val="none"/>
        </w:rPr>
      </w:pPr>
      <w:r>
        <w:rPr>
          <w:rFonts w:hint="eastAsia" w:ascii="仿宋" w:hAnsi="仿宋" w:eastAsia="仿宋" w:cs="仿宋"/>
          <w:highlight w:val="none"/>
        </w:rPr>
        <w:t xml:space="preserve">                             响应人名称：</w:t>
      </w:r>
      <w:r>
        <w:rPr>
          <w:rFonts w:hint="eastAsia" w:ascii="仿宋" w:hAnsi="仿宋" w:eastAsia="仿宋" w:cs="仿宋"/>
          <w:highlight w:val="none"/>
          <w:u w:val="single"/>
        </w:rPr>
        <w:t xml:space="preserve">                     </w:t>
      </w:r>
      <w:r>
        <w:rPr>
          <w:rFonts w:hint="eastAsia" w:ascii="仿宋" w:hAnsi="仿宋" w:eastAsia="仿宋" w:cs="仿宋"/>
          <w:highlight w:val="none"/>
        </w:rPr>
        <w:t>（公章）</w:t>
      </w:r>
    </w:p>
    <w:p>
      <w:pPr>
        <w:ind w:firstLine="480"/>
        <w:rPr>
          <w:rFonts w:hint="eastAsia" w:ascii="仿宋" w:hAnsi="仿宋" w:eastAsia="仿宋" w:cs="仿宋"/>
          <w:highlight w:val="none"/>
        </w:rPr>
      </w:pPr>
    </w:p>
    <w:p>
      <w:pPr>
        <w:ind w:firstLine="480"/>
        <w:rPr>
          <w:rFonts w:hint="eastAsia" w:ascii="仿宋" w:hAnsi="仿宋" w:eastAsia="仿宋" w:cs="仿宋"/>
          <w:highlight w:val="none"/>
        </w:rPr>
      </w:pPr>
      <w:r>
        <w:rPr>
          <w:rFonts w:hint="eastAsia" w:ascii="仿宋" w:hAnsi="仿宋" w:eastAsia="仿宋" w:cs="仿宋"/>
          <w:highlight w:val="none"/>
        </w:rPr>
        <w:t xml:space="preserve">                             法定代表人或委托代理人：</w:t>
      </w:r>
      <w:r>
        <w:rPr>
          <w:rFonts w:hint="eastAsia" w:ascii="仿宋" w:hAnsi="仿宋" w:eastAsia="仿宋" w:cs="仿宋"/>
          <w:highlight w:val="none"/>
          <w:u w:val="single"/>
        </w:rPr>
        <w:t xml:space="preserve">             </w:t>
      </w:r>
      <w:r>
        <w:rPr>
          <w:rFonts w:hint="eastAsia" w:ascii="仿宋" w:hAnsi="仿宋" w:eastAsia="仿宋" w:cs="仿宋"/>
          <w:highlight w:val="none"/>
        </w:rPr>
        <w:t>（签字）</w:t>
      </w:r>
    </w:p>
    <w:p>
      <w:pPr>
        <w:ind w:firstLine="480"/>
        <w:rPr>
          <w:rFonts w:hint="eastAsia" w:ascii="仿宋" w:hAnsi="仿宋" w:eastAsia="仿宋" w:cs="仿宋"/>
          <w:highlight w:val="none"/>
        </w:rPr>
      </w:pPr>
    </w:p>
    <w:p>
      <w:pPr>
        <w:rPr>
          <w:rFonts w:hint="eastAsia" w:ascii="仿宋" w:hAnsi="仿宋" w:eastAsia="仿宋" w:cs="仿宋"/>
          <w:b/>
          <w:highlight w:val="none"/>
        </w:rPr>
      </w:pPr>
      <w:r>
        <w:rPr>
          <w:rFonts w:hint="eastAsia" w:ascii="仿宋" w:hAnsi="仿宋" w:eastAsia="仿宋" w:cs="仿宋"/>
          <w:highlight w:val="none"/>
        </w:rPr>
        <w:t xml:space="preserve">                                 日   期： </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bookmarkEnd w:id="210"/>
    <w:p>
      <w:pPr>
        <w:spacing w:line="520" w:lineRule="exact"/>
        <w:jc w:val="center"/>
        <w:rPr>
          <w:rFonts w:hint="eastAsia" w:ascii="仿宋" w:hAnsi="仿宋" w:eastAsia="仿宋" w:cs="仿宋"/>
          <w:sz w:val="24"/>
          <w:highlight w:val="none"/>
        </w:rPr>
      </w:pPr>
    </w:p>
    <w:p>
      <w:pPr>
        <w:rPr>
          <w:rFonts w:hint="eastAsia" w:ascii="仿宋" w:hAnsi="仿宋" w:eastAsia="仿宋" w:cs="仿宋"/>
          <w:sz w:val="24"/>
          <w:highlight w:val="none"/>
        </w:rPr>
        <w:sectPr>
          <w:footerReference r:id="rId8" w:type="default"/>
          <w:footerReference r:id="rId9" w:type="even"/>
          <w:pgSz w:w="11906" w:h="16838"/>
          <w:pgMar w:top="1440" w:right="1588" w:bottom="1440" w:left="1588" w:header="851" w:footer="992" w:gutter="0"/>
          <w:pgNumType w:start="56"/>
          <w:cols w:space="720" w:num="1"/>
          <w:docGrid w:type="lines" w:linePitch="312" w:charSpace="0"/>
        </w:sectPr>
      </w:pPr>
    </w:p>
    <w:p>
      <w:pPr>
        <w:pStyle w:val="5"/>
        <w:numPr>
          <w:ilvl w:val="0"/>
          <w:numId w:val="18"/>
        </w:numPr>
        <w:rPr>
          <w:rFonts w:hint="eastAsia" w:cs="仿宋"/>
          <w:highlight w:val="none"/>
        </w:rPr>
      </w:pPr>
      <w:bookmarkStart w:id="211" w:name="_Toc433814136"/>
      <w:bookmarkStart w:id="212" w:name="_Toc58490821"/>
      <w:bookmarkStart w:id="213" w:name="附件八"/>
      <w:r>
        <w:rPr>
          <w:rFonts w:hint="eastAsia" w:cs="仿宋"/>
          <w:highlight w:val="none"/>
        </w:rPr>
        <w:t>响应人廉政承诺书</w:t>
      </w:r>
      <w:bookmarkEnd w:id="211"/>
      <w:bookmarkEnd w:id="212"/>
    </w:p>
    <w:bookmarkEnd w:id="213"/>
    <w:p>
      <w:pPr>
        <w:spacing w:after="156" w:afterLines="50" w:line="36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响应人廉政承诺书</w:t>
      </w:r>
    </w:p>
    <w:p>
      <w:pPr>
        <w:spacing w:line="520" w:lineRule="exac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为进一步规范采购活动，防止发生违法违纪行为，体现公开、公平、公正的原则，根据国家法律、法规和廉洁从业有关规定，本响应人特作如下承诺：</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1、所提供的一切材料均真实、有效、合法；</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2、不与其他响应人相互串通报价，进行围标、串标、陪标、抬标等行为，不排挤其他响应人的公平竞争，损害采购人或其他响应人的合法权益；</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3、不与采购人或采购代理机构串通，损害国家利益、社会公共利益或者他人的合法权益；</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4、不以他人名义参加谈判或以其他方式弄虚作假，骗取成交；</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5、不向采购人、采购代理机构、谈判小组成员行贿，以不正当手段牟取成交；</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6、不向监管人员请客、送礼及组织其他有可能影响客观公正监管的活动；</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7、不私下接触谈判小组成员；</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8、不给因参加竞争性活动被追究的责任人的违法违规行为说情、解脱。</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如出现上述行为，本响应人自愿承担相关法律及其他相关责任。</w:t>
      </w:r>
    </w:p>
    <w:p>
      <w:pPr>
        <w:spacing w:line="520" w:lineRule="exact"/>
        <w:ind w:firstLine="480" w:firstLineChars="200"/>
        <w:rPr>
          <w:rFonts w:hint="eastAsia" w:ascii="仿宋" w:hAnsi="仿宋" w:eastAsia="仿宋" w:cs="仿宋"/>
          <w:sz w:val="24"/>
          <w:highlight w:val="none"/>
        </w:rPr>
      </w:pPr>
    </w:p>
    <w:p>
      <w:pPr>
        <w:adjustRightInd w:val="0"/>
        <w:snapToGrid w:val="0"/>
        <w:spacing w:line="360" w:lineRule="auto"/>
        <w:ind w:firstLine="3780" w:firstLineChars="1575"/>
        <w:rPr>
          <w:rFonts w:hint="eastAsia" w:ascii="仿宋" w:hAnsi="仿宋" w:eastAsia="仿宋" w:cs="仿宋"/>
          <w:sz w:val="24"/>
          <w:highlight w:val="none"/>
        </w:rPr>
      </w:pPr>
    </w:p>
    <w:p>
      <w:pPr>
        <w:spacing w:line="360" w:lineRule="auto"/>
        <w:ind w:firstLine="3967" w:firstLineChars="1653"/>
        <w:rPr>
          <w:rFonts w:hint="eastAsia" w:ascii="仿宋" w:hAnsi="仿宋" w:eastAsia="仿宋" w:cs="仿宋"/>
          <w:sz w:val="24"/>
          <w:szCs w:val="24"/>
          <w:highlight w:val="none"/>
        </w:rPr>
      </w:pPr>
      <w:r>
        <w:rPr>
          <w:rFonts w:hint="eastAsia" w:ascii="仿宋" w:hAnsi="仿宋" w:eastAsia="仿宋" w:cs="仿宋"/>
          <w:sz w:val="24"/>
          <w:szCs w:val="24"/>
          <w:highlight w:val="none"/>
        </w:rPr>
        <w:t>响 应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（盖单位章）</w:t>
      </w:r>
    </w:p>
    <w:p>
      <w:pPr>
        <w:spacing w:line="360" w:lineRule="auto"/>
        <w:ind w:firstLine="3967" w:firstLineChars="1653"/>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w:t>
      </w:r>
    </w:p>
    <w:p>
      <w:pPr>
        <w:spacing w:line="360" w:lineRule="auto"/>
        <w:ind w:firstLine="3967" w:firstLineChars="1653"/>
        <w:rPr>
          <w:rFonts w:hint="eastAsia" w:ascii="仿宋" w:hAnsi="仿宋" w:eastAsia="仿宋" w:cs="仿宋"/>
          <w:b/>
          <w:kern w:val="0"/>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spacing w:line="520" w:lineRule="exact"/>
        <w:ind w:firstLine="5040" w:firstLineChars="2100"/>
        <w:rPr>
          <w:rFonts w:hint="eastAsia" w:ascii="仿宋" w:hAnsi="仿宋" w:eastAsia="仿宋" w:cs="仿宋"/>
          <w:sz w:val="24"/>
          <w:highlight w:val="none"/>
        </w:rPr>
      </w:pPr>
    </w:p>
    <w:p>
      <w:pPr>
        <w:spacing w:line="440" w:lineRule="exact"/>
        <w:jc w:val="center"/>
        <w:rPr>
          <w:rFonts w:hint="eastAsia" w:ascii="仿宋" w:hAnsi="仿宋" w:eastAsia="仿宋" w:cs="仿宋"/>
          <w:sz w:val="20"/>
          <w:szCs w:val="20"/>
          <w:highlight w:val="none"/>
        </w:rPr>
        <w:sectPr>
          <w:footerReference r:id="rId10" w:type="default"/>
          <w:pgSz w:w="11906" w:h="16838"/>
          <w:pgMar w:top="1440" w:right="1588" w:bottom="1440" w:left="1588" w:header="851" w:footer="992" w:gutter="0"/>
          <w:pgNumType w:start="60"/>
          <w:cols w:space="720" w:num="1"/>
          <w:docGrid w:type="lines" w:linePitch="312" w:charSpace="0"/>
        </w:sectPr>
      </w:pPr>
    </w:p>
    <w:p>
      <w:pPr>
        <w:pStyle w:val="5"/>
        <w:numPr>
          <w:ilvl w:val="0"/>
          <w:numId w:val="18"/>
        </w:numPr>
        <w:rPr>
          <w:rFonts w:hint="eastAsia" w:cs="仿宋"/>
          <w:highlight w:val="none"/>
        </w:rPr>
      </w:pPr>
      <w:bookmarkStart w:id="214" w:name="_Toc58490822"/>
      <w:bookmarkStart w:id="215" w:name="附件九"/>
      <w:r>
        <w:rPr>
          <w:rFonts w:hint="eastAsia" w:cs="仿宋"/>
          <w:highlight w:val="none"/>
        </w:rPr>
        <w:t>商务偏差表</w:t>
      </w:r>
      <w:bookmarkEnd w:id="214"/>
    </w:p>
    <w:bookmarkEnd w:id="215"/>
    <w:tbl>
      <w:tblPr>
        <w:tblStyle w:val="21"/>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
      <w:tblGrid>
        <w:gridCol w:w="894"/>
        <w:gridCol w:w="1316"/>
        <w:gridCol w:w="981"/>
        <w:gridCol w:w="2520"/>
        <w:gridCol w:w="1961"/>
        <w:gridCol w:w="140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restart"/>
            <w:vAlign w:val="center"/>
          </w:tcPr>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商务</w:t>
            </w:r>
          </w:p>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偏差</w:t>
            </w:r>
          </w:p>
        </w:tc>
        <w:tc>
          <w:tcPr>
            <w:tcW w:w="1316" w:type="dxa"/>
            <w:vAlign w:val="center"/>
          </w:tcPr>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条目</w:t>
            </w:r>
          </w:p>
        </w:tc>
        <w:tc>
          <w:tcPr>
            <w:tcW w:w="981" w:type="dxa"/>
            <w:vAlign w:val="center"/>
          </w:tcPr>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页码</w:t>
            </w:r>
          </w:p>
        </w:tc>
        <w:tc>
          <w:tcPr>
            <w:tcW w:w="2520" w:type="dxa"/>
            <w:vAlign w:val="center"/>
          </w:tcPr>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采购文件规定</w:t>
            </w:r>
          </w:p>
        </w:tc>
        <w:tc>
          <w:tcPr>
            <w:tcW w:w="1961" w:type="dxa"/>
            <w:vAlign w:val="center"/>
          </w:tcPr>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偏差</w:t>
            </w:r>
          </w:p>
        </w:tc>
        <w:tc>
          <w:tcPr>
            <w:tcW w:w="1400" w:type="dxa"/>
            <w:vAlign w:val="center"/>
          </w:tcPr>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cs="仿宋"/>
                <w:position w:val="-9"/>
                <w:szCs w:val="21"/>
                <w:highlight w:val="none"/>
              </w:rPr>
            </w:pPr>
          </w:p>
        </w:tc>
        <w:tc>
          <w:tcPr>
            <w:tcW w:w="1316" w:type="dxa"/>
          </w:tcPr>
          <w:p>
            <w:pPr>
              <w:overflowPunct w:val="0"/>
              <w:topLinePunct/>
              <w:spacing w:before="100" w:after="100"/>
              <w:jc w:val="center"/>
              <w:rPr>
                <w:rFonts w:hint="eastAsia" w:ascii="仿宋" w:hAnsi="仿宋" w:eastAsia="仿宋" w:cs="仿宋"/>
                <w:position w:val="-9"/>
                <w:szCs w:val="21"/>
                <w:highlight w:val="none"/>
              </w:rPr>
            </w:pPr>
          </w:p>
        </w:tc>
        <w:tc>
          <w:tcPr>
            <w:tcW w:w="981" w:type="dxa"/>
          </w:tcPr>
          <w:p>
            <w:pPr>
              <w:overflowPunct w:val="0"/>
              <w:topLinePunct/>
              <w:spacing w:before="100" w:after="100"/>
              <w:jc w:val="center"/>
              <w:rPr>
                <w:rFonts w:hint="eastAsia" w:ascii="仿宋" w:hAnsi="仿宋" w:eastAsia="仿宋" w:cs="仿宋"/>
                <w:position w:val="-9"/>
                <w:szCs w:val="21"/>
                <w:highlight w:val="none"/>
              </w:rPr>
            </w:pPr>
          </w:p>
        </w:tc>
        <w:tc>
          <w:tcPr>
            <w:tcW w:w="2520" w:type="dxa"/>
          </w:tcPr>
          <w:p>
            <w:pPr>
              <w:overflowPunct w:val="0"/>
              <w:topLinePunct/>
              <w:spacing w:before="100" w:after="100"/>
              <w:jc w:val="center"/>
              <w:rPr>
                <w:rFonts w:hint="eastAsia" w:ascii="仿宋" w:hAnsi="仿宋" w:eastAsia="仿宋" w:cs="仿宋"/>
                <w:position w:val="-9"/>
                <w:szCs w:val="21"/>
                <w:highlight w:val="none"/>
              </w:rPr>
            </w:pPr>
          </w:p>
        </w:tc>
        <w:tc>
          <w:tcPr>
            <w:tcW w:w="1961" w:type="dxa"/>
          </w:tcPr>
          <w:p>
            <w:pPr>
              <w:overflowPunct w:val="0"/>
              <w:topLinePunct/>
              <w:spacing w:before="100" w:after="100"/>
              <w:jc w:val="center"/>
              <w:rPr>
                <w:rFonts w:hint="eastAsia" w:ascii="仿宋" w:hAnsi="仿宋" w:eastAsia="仿宋" w:cs="仿宋"/>
                <w:position w:val="-9"/>
                <w:szCs w:val="21"/>
                <w:highlight w:val="none"/>
              </w:rPr>
            </w:pPr>
          </w:p>
        </w:tc>
        <w:tc>
          <w:tcPr>
            <w:tcW w:w="1400" w:type="dxa"/>
          </w:tcPr>
          <w:p>
            <w:pPr>
              <w:overflowPunct w:val="0"/>
              <w:topLinePunct/>
              <w:spacing w:before="100" w:after="100"/>
              <w:jc w:val="center"/>
              <w:rPr>
                <w:rFonts w:hint="eastAsia" w:ascii="仿宋" w:hAnsi="仿宋" w:eastAsia="仿宋" w:cs="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cs="仿宋"/>
                <w:position w:val="-9"/>
                <w:szCs w:val="21"/>
                <w:highlight w:val="none"/>
              </w:rPr>
            </w:pPr>
          </w:p>
        </w:tc>
        <w:tc>
          <w:tcPr>
            <w:tcW w:w="1316" w:type="dxa"/>
          </w:tcPr>
          <w:p>
            <w:pPr>
              <w:overflowPunct w:val="0"/>
              <w:topLinePunct/>
              <w:spacing w:before="100" w:after="100"/>
              <w:jc w:val="center"/>
              <w:rPr>
                <w:rFonts w:hint="eastAsia" w:ascii="仿宋" w:hAnsi="仿宋" w:eastAsia="仿宋" w:cs="仿宋"/>
                <w:position w:val="-9"/>
                <w:szCs w:val="21"/>
                <w:highlight w:val="none"/>
              </w:rPr>
            </w:pPr>
          </w:p>
        </w:tc>
        <w:tc>
          <w:tcPr>
            <w:tcW w:w="981" w:type="dxa"/>
          </w:tcPr>
          <w:p>
            <w:pPr>
              <w:overflowPunct w:val="0"/>
              <w:topLinePunct/>
              <w:spacing w:before="100" w:after="100"/>
              <w:jc w:val="center"/>
              <w:rPr>
                <w:rFonts w:hint="eastAsia" w:ascii="仿宋" w:hAnsi="仿宋" w:eastAsia="仿宋" w:cs="仿宋"/>
                <w:position w:val="-9"/>
                <w:szCs w:val="21"/>
                <w:highlight w:val="none"/>
              </w:rPr>
            </w:pPr>
          </w:p>
        </w:tc>
        <w:tc>
          <w:tcPr>
            <w:tcW w:w="2520" w:type="dxa"/>
          </w:tcPr>
          <w:p>
            <w:pPr>
              <w:overflowPunct w:val="0"/>
              <w:topLinePunct/>
              <w:spacing w:before="100" w:after="100"/>
              <w:jc w:val="center"/>
              <w:rPr>
                <w:rFonts w:hint="eastAsia" w:ascii="仿宋" w:hAnsi="仿宋" w:eastAsia="仿宋" w:cs="仿宋"/>
                <w:position w:val="-9"/>
                <w:szCs w:val="21"/>
                <w:highlight w:val="none"/>
              </w:rPr>
            </w:pPr>
          </w:p>
        </w:tc>
        <w:tc>
          <w:tcPr>
            <w:tcW w:w="1961" w:type="dxa"/>
          </w:tcPr>
          <w:p>
            <w:pPr>
              <w:overflowPunct w:val="0"/>
              <w:topLinePunct/>
              <w:spacing w:before="100" w:after="100"/>
              <w:jc w:val="center"/>
              <w:rPr>
                <w:rFonts w:hint="eastAsia" w:ascii="仿宋" w:hAnsi="仿宋" w:eastAsia="仿宋" w:cs="仿宋"/>
                <w:position w:val="-9"/>
                <w:szCs w:val="21"/>
                <w:highlight w:val="none"/>
              </w:rPr>
            </w:pPr>
          </w:p>
        </w:tc>
        <w:tc>
          <w:tcPr>
            <w:tcW w:w="1400" w:type="dxa"/>
          </w:tcPr>
          <w:p>
            <w:pPr>
              <w:overflowPunct w:val="0"/>
              <w:topLinePunct/>
              <w:spacing w:before="100" w:after="100"/>
              <w:jc w:val="center"/>
              <w:rPr>
                <w:rFonts w:hint="eastAsia" w:ascii="仿宋" w:hAnsi="仿宋" w:eastAsia="仿宋" w:cs="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cs="仿宋"/>
                <w:position w:val="-9"/>
                <w:szCs w:val="21"/>
                <w:highlight w:val="none"/>
              </w:rPr>
            </w:pPr>
          </w:p>
        </w:tc>
        <w:tc>
          <w:tcPr>
            <w:tcW w:w="1316" w:type="dxa"/>
          </w:tcPr>
          <w:p>
            <w:pPr>
              <w:overflowPunct w:val="0"/>
              <w:topLinePunct/>
              <w:spacing w:before="100" w:after="100"/>
              <w:jc w:val="center"/>
              <w:rPr>
                <w:rFonts w:hint="eastAsia" w:ascii="仿宋" w:hAnsi="仿宋" w:eastAsia="仿宋" w:cs="仿宋"/>
                <w:position w:val="-9"/>
                <w:szCs w:val="21"/>
                <w:highlight w:val="none"/>
              </w:rPr>
            </w:pPr>
          </w:p>
        </w:tc>
        <w:tc>
          <w:tcPr>
            <w:tcW w:w="981" w:type="dxa"/>
          </w:tcPr>
          <w:p>
            <w:pPr>
              <w:overflowPunct w:val="0"/>
              <w:topLinePunct/>
              <w:spacing w:before="100" w:after="100"/>
              <w:jc w:val="center"/>
              <w:rPr>
                <w:rFonts w:hint="eastAsia" w:ascii="仿宋" w:hAnsi="仿宋" w:eastAsia="仿宋" w:cs="仿宋"/>
                <w:position w:val="-9"/>
                <w:szCs w:val="21"/>
                <w:highlight w:val="none"/>
              </w:rPr>
            </w:pPr>
          </w:p>
        </w:tc>
        <w:tc>
          <w:tcPr>
            <w:tcW w:w="2520" w:type="dxa"/>
          </w:tcPr>
          <w:p>
            <w:pPr>
              <w:overflowPunct w:val="0"/>
              <w:topLinePunct/>
              <w:spacing w:before="100" w:after="100"/>
              <w:jc w:val="center"/>
              <w:rPr>
                <w:rFonts w:hint="eastAsia" w:ascii="仿宋" w:hAnsi="仿宋" w:eastAsia="仿宋" w:cs="仿宋"/>
                <w:position w:val="-9"/>
                <w:szCs w:val="21"/>
                <w:highlight w:val="none"/>
              </w:rPr>
            </w:pPr>
          </w:p>
        </w:tc>
        <w:tc>
          <w:tcPr>
            <w:tcW w:w="1961" w:type="dxa"/>
          </w:tcPr>
          <w:p>
            <w:pPr>
              <w:overflowPunct w:val="0"/>
              <w:topLinePunct/>
              <w:spacing w:before="100" w:after="100"/>
              <w:jc w:val="center"/>
              <w:rPr>
                <w:rFonts w:hint="eastAsia" w:ascii="仿宋" w:hAnsi="仿宋" w:eastAsia="仿宋" w:cs="仿宋"/>
                <w:position w:val="-9"/>
                <w:szCs w:val="21"/>
                <w:highlight w:val="none"/>
              </w:rPr>
            </w:pPr>
          </w:p>
        </w:tc>
        <w:tc>
          <w:tcPr>
            <w:tcW w:w="1400" w:type="dxa"/>
          </w:tcPr>
          <w:p>
            <w:pPr>
              <w:overflowPunct w:val="0"/>
              <w:topLinePunct/>
              <w:spacing w:before="100" w:after="100"/>
              <w:jc w:val="center"/>
              <w:rPr>
                <w:rFonts w:hint="eastAsia" w:ascii="仿宋" w:hAnsi="仿宋" w:eastAsia="仿宋" w:cs="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cs="仿宋"/>
                <w:position w:val="-9"/>
                <w:szCs w:val="21"/>
                <w:highlight w:val="none"/>
              </w:rPr>
            </w:pPr>
          </w:p>
        </w:tc>
        <w:tc>
          <w:tcPr>
            <w:tcW w:w="1316" w:type="dxa"/>
          </w:tcPr>
          <w:p>
            <w:pPr>
              <w:overflowPunct w:val="0"/>
              <w:topLinePunct/>
              <w:spacing w:before="100" w:after="100"/>
              <w:jc w:val="center"/>
              <w:rPr>
                <w:rFonts w:hint="eastAsia" w:ascii="仿宋" w:hAnsi="仿宋" w:eastAsia="仿宋" w:cs="仿宋"/>
                <w:position w:val="-9"/>
                <w:szCs w:val="21"/>
                <w:highlight w:val="none"/>
              </w:rPr>
            </w:pPr>
          </w:p>
        </w:tc>
        <w:tc>
          <w:tcPr>
            <w:tcW w:w="981" w:type="dxa"/>
          </w:tcPr>
          <w:p>
            <w:pPr>
              <w:overflowPunct w:val="0"/>
              <w:topLinePunct/>
              <w:spacing w:before="100" w:after="100"/>
              <w:jc w:val="center"/>
              <w:rPr>
                <w:rFonts w:hint="eastAsia" w:ascii="仿宋" w:hAnsi="仿宋" w:eastAsia="仿宋" w:cs="仿宋"/>
                <w:position w:val="-9"/>
                <w:szCs w:val="21"/>
                <w:highlight w:val="none"/>
              </w:rPr>
            </w:pPr>
          </w:p>
        </w:tc>
        <w:tc>
          <w:tcPr>
            <w:tcW w:w="2520" w:type="dxa"/>
          </w:tcPr>
          <w:p>
            <w:pPr>
              <w:overflowPunct w:val="0"/>
              <w:topLinePunct/>
              <w:spacing w:before="100" w:after="100"/>
              <w:jc w:val="center"/>
              <w:rPr>
                <w:rFonts w:hint="eastAsia" w:ascii="仿宋" w:hAnsi="仿宋" w:eastAsia="仿宋" w:cs="仿宋"/>
                <w:position w:val="-9"/>
                <w:szCs w:val="21"/>
                <w:highlight w:val="none"/>
              </w:rPr>
            </w:pPr>
          </w:p>
        </w:tc>
        <w:tc>
          <w:tcPr>
            <w:tcW w:w="1961" w:type="dxa"/>
          </w:tcPr>
          <w:p>
            <w:pPr>
              <w:overflowPunct w:val="0"/>
              <w:topLinePunct/>
              <w:spacing w:before="100" w:after="100"/>
              <w:jc w:val="center"/>
              <w:rPr>
                <w:rFonts w:hint="eastAsia" w:ascii="仿宋" w:hAnsi="仿宋" w:eastAsia="仿宋" w:cs="仿宋"/>
                <w:position w:val="-9"/>
                <w:szCs w:val="21"/>
                <w:highlight w:val="none"/>
              </w:rPr>
            </w:pPr>
          </w:p>
        </w:tc>
        <w:tc>
          <w:tcPr>
            <w:tcW w:w="1400" w:type="dxa"/>
          </w:tcPr>
          <w:p>
            <w:pPr>
              <w:overflowPunct w:val="0"/>
              <w:topLinePunct/>
              <w:spacing w:before="100" w:after="100"/>
              <w:jc w:val="center"/>
              <w:rPr>
                <w:rFonts w:hint="eastAsia" w:ascii="仿宋" w:hAnsi="仿宋" w:eastAsia="仿宋" w:cs="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cs="仿宋"/>
                <w:position w:val="-9"/>
                <w:szCs w:val="21"/>
                <w:highlight w:val="none"/>
              </w:rPr>
            </w:pPr>
          </w:p>
        </w:tc>
        <w:tc>
          <w:tcPr>
            <w:tcW w:w="1316" w:type="dxa"/>
          </w:tcPr>
          <w:p>
            <w:pPr>
              <w:overflowPunct w:val="0"/>
              <w:topLinePunct/>
              <w:spacing w:before="100" w:after="100"/>
              <w:jc w:val="center"/>
              <w:rPr>
                <w:rFonts w:hint="eastAsia" w:ascii="仿宋" w:hAnsi="仿宋" w:eastAsia="仿宋" w:cs="仿宋"/>
                <w:position w:val="-9"/>
                <w:szCs w:val="21"/>
                <w:highlight w:val="none"/>
              </w:rPr>
            </w:pPr>
          </w:p>
        </w:tc>
        <w:tc>
          <w:tcPr>
            <w:tcW w:w="981" w:type="dxa"/>
          </w:tcPr>
          <w:p>
            <w:pPr>
              <w:overflowPunct w:val="0"/>
              <w:topLinePunct/>
              <w:spacing w:before="100" w:after="100"/>
              <w:jc w:val="center"/>
              <w:rPr>
                <w:rFonts w:hint="eastAsia" w:ascii="仿宋" w:hAnsi="仿宋" w:eastAsia="仿宋" w:cs="仿宋"/>
                <w:position w:val="-9"/>
                <w:szCs w:val="21"/>
                <w:highlight w:val="none"/>
              </w:rPr>
            </w:pPr>
          </w:p>
        </w:tc>
        <w:tc>
          <w:tcPr>
            <w:tcW w:w="2520" w:type="dxa"/>
          </w:tcPr>
          <w:p>
            <w:pPr>
              <w:overflowPunct w:val="0"/>
              <w:topLinePunct/>
              <w:spacing w:before="100" w:after="100"/>
              <w:jc w:val="center"/>
              <w:rPr>
                <w:rFonts w:hint="eastAsia" w:ascii="仿宋" w:hAnsi="仿宋" w:eastAsia="仿宋" w:cs="仿宋"/>
                <w:position w:val="-9"/>
                <w:szCs w:val="21"/>
                <w:highlight w:val="none"/>
              </w:rPr>
            </w:pPr>
          </w:p>
        </w:tc>
        <w:tc>
          <w:tcPr>
            <w:tcW w:w="1961" w:type="dxa"/>
          </w:tcPr>
          <w:p>
            <w:pPr>
              <w:overflowPunct w:val="0"/>
              <w:topLinePunct/>
              <w:spacing w:before="100" w:after="100"/>
              <w:jc w:val="center"/>
              <w:rPr>
                <w:rFonts w:hint="eastAsia" w:ascii="仿宋" w:hAnsi="仿宋" w:eastAsia="仿宋" w:cs="仿宋"/>
                <w:position w:val="-9"/>
                <w:szCs w:val="21"/>
                <w:highlight w:val="none"/>
              </w:rPr>
            </w:pPr>
          </w:p>
        </w:tc>
        <w:tc>
          <w:tcPr>
            <w:tcW w:w="1400" w:type="dxa"/>
          </w:tcPr>
          <w:p>
            <w:pPr>
              <w:overflowPunct w:val="0"/>
              <w:topLinePunct/>
              <w:spacing w:before="100" w:after="100"/>
              <w:jc w:val="center"/>
              <w:rPr>
                <w:rFonts w:hint="eastAsia" w:ascii="仿宋" w:hAnsi="仿宋" w:eastAsia="仿宋" w:cs="仿宋"/>
                <w:position w:val="-9"/>
                <w:szCs w:val="21"/>
                <w:highlight w:val="none"/>
              </w:rPr>
            </w:pPr>
          </w:p>
        </w:tc>
      </w:tr>
    </w:tbl>
    <w:p>
      <w:pPr>
        <w:rPr>
          <w:rFonts w:hint="eastAsia" w:ascii="仿宋" w:hAnsi="仿宋" w:eastAsia="仿宋" w:cs="仿宋"/>
          <w:highlight w:val="none"/>
        </w:rPr>
      </w:pPr>
    </w:p>
    <w:p>
      <w:pPr>
        <w:rPr>
          <w:rFonts w:hint="eastAsia" w:ascii="仿宋" w:hAnsi="仿宋" w:eastAsia="仿宋" w:cs="仿宋"/>
          <w:highlight w:val="none"/>
        </w:rPr>
      </w:pPr>
    </w:p>
    <w:p>
      <w:pPr>
        <w:spacing w:line="360" w:lineRule="auto"/>
        <w:ind w:firstLine="3967" w:firstLineChars="1653"/>
        <w:rPr>
          <w:rFonts w:hint="eastAsia" w:ascii="仿宋" w:hAnsi="仿宋" w:eastAsia="仿宋" w:cs="仿宋"/>
          <w:sz w:val="24"/>
          <w:szCs w:val="24"/>
          <w:highlight w:val="none"/>
        </w:rPr>
      </w:pPr>
      <w:r>
        <w:rPr>
          <w:rFonts w:hint="eastAsia" w:ascii="仿宋" w:hAnsi="仿宋" w:eastAsia="仿宋" w:cs="仿宋"/>
          <w:sz w:val="24"/>
          <w:szCs w:val="24"/>
          <w:highlight w:val="none"/>
        </w:rPr>
        <w:t>响 应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（盖单位章）</w:t>
      </w:r>
    </w:p>
    <w:p>
      <w:pPr>
        <w:spacing w:line="360" w:lineRule="auto"/>
        <w:ind w:firstLine="3967" w:firstLineChars="1653"/>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w:t>
      </w:r>
    </w:p>
    <w:p>
      <w:pPr>
        <w:tabs>
          <w:tab w:val="left" w:pos="945"/>
          <w:tab w:val="right" w:leader="dot" w:pos="8040"/>
        </w:tabs>
        <w:ind w:firstLine="3960" w:firstLineChars="1650"/>
        <w:rPr>
          <w:rFonts w:hint="eastAsia" w:ascii="仿宋" w:hAnsi="仿宋" w:eastAsia="仿宋" w:cs="仿宋"/>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bookmarkStart w:id="216" w:name="_Toc58490823"/>
      <w:bookmarkStart w:id="217" w:name="附件十"/>
      <w:bookmarkStart w:id="218" w:name="_Toc433814139"/>
      <w:bookmarkStart w:id="219" w:name="_Toc22147"/>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bookmarkEnd w:id="216"/>
    <w:bookmarkEnd w:id="217"/>
    <w:bookmarkEnd w:id="218"/>
    <w:bookmarkEnd w:id="219"/>
    <w:p>
      <w:pPr>
        <w:pStyle w:val="5"/>
        <w:numPr>
          <w:ilvl w:val="0"/>
          <w:numId w:val="18"/>
        </w:numPr>
        <w:rPr>
          <w:rFonts w:hint="eastAsia" w:cs="仿宋"/>
          <w:sz w:val="32"/>
          <w:szCs w:val="32"/>
          <w:highlight w:val="none"/>
        </w:rPr>
      </w:pPr>
      <w:r>
        <w:rPr>
          <w:rFonts w:hint="eastAsia" w:cs="仿宋"/>
          <w:highlight w:val="none"/>
        </w:rPr>
        <w:br w:type="page"/>
      </w:r>
      <w:bookmarkStart w:id="220" w:name="_Toc433814141"/>
      <w:bookmarkStart w:id="221" w:name="_Toc58490824"/>
      <w:bookmarkStart w:id="222" w:name="附件十一"/>
      <w:r>
        <w:rPr>
          <w:rFonts w:hint="eastAsia" w:cs="仿宋"/>
          <w:highlight w:val="none"/>
        </w:rPr>
        <w:t>技术偏差表</w:t>
      </w:r>
      <w:bookmarkEnd w:id="220"/>
      <w:bookmarkEnd w:id="221"/>
      <w:bookmarkEnd w:id="222"/>
    </w:p>
    <w:p>
      <w:pPr>
        <w:rPr>
          <w:rFonts w:hint="eastAsia" w:ascii="仿宋" w:hAnsi="仿宋" w:eastAsia="仿宋" w:cs="仿宋"/>
          <w:highlight w:val="none"/>
        </w:rPr>
      </w:pPr>
    </w:p>
    <w:tbl>
      <w:tblPr>
        <w:tblStyle w:val="21"/>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
      <w:tblGrid>
        <w:gridCol w:w="894"/>
        <w:gridCol w:w="1316"/>
        <w:gridCol w:w="981"/>
        <w:gridCol w:w="2520"/>
        <w:gridCol w:w="1961"/>
        <w:gridCol w:w="140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restart"/>
            <w:vAlign w:val="center"/>
          </w:tcPr>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技术偏差</w:t>
            </w:r>
          </w:p>
        </w:tc>
        <w:tc>
          <w:tcPr>
            <w:tcW w:w="1316" w:type="dxa"/>
            <w:vAlign w:val="center"/>
          </w:tcPr>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条目</w:t>
            </w:r>
          </w:p>
        </w:tc>
        <w:tc>
          <w:tcPr>
            <w:tcW w:w="981" w:type="dxa"/>
            <w:vAlign w:val="center"/>
          </w:tcPr>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页码</w:t>
            </w:r>
          </w:p>
        </w:tc>
        <w:tc>
          <w:tcPr>
            <w:tcW w:w="2520" w:type="dxa"/>
            <w:vAlign w:val="center"/>
          </w:tcPr>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竞争性谈判文件规定</w:t>
            </w:r>
          </w:p>
        </w:tc>
        <w:tc>
          <w:tcPr>
            <w:tcW w:w="1961" w:type="dxa"/>
            <w:vAlign w:val="center"/>
          </w:tcPr>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偏差</w:t>
            </w:r>
          </w:p>
        </w:tc>
        <w:tc>
          <w:tcPr>
            <w:tcW w:w="1400" w:type="dxa"/>
            <w:vAlign w:val="center"/>
          </w:tcPr>
          <w:p>
            <w:pPr>
              <w:overflowPunct w:val="0"/>
              <w:topLinePunct/>
              <w:spacing w:before="100" w:after="100"/>
              <w:jc w:val="center"/>
              <w:rPr>
                <w:rFonts w:hint="eastAsia" w:ascii="仿宋" w:hAnsi="仿宋" w:eastAsia="仿宋" w:cs="仿宋"/>
                <w:position w:val="-9"/>
                <w:szCs w:val="21"/>
                <w:highlight w:val="none"/>
              </w:rPr>
            </w:pPr>
            <w:r>
              <w:rPr>
                <w:rFonts w:hint="eastAsia" w:ascii="仿宋" w:hAnsi="仿宋" w:eastAsia="仿宋" w:cs="仿宋"/>
                <w:position w:val="-9"/>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cs="仿宋"/>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cs="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cs="仿宋"/>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cs="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cs="仿宋"/>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cs="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cs="仿宋"/>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cs="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cs="仿宋"/>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cs="仿宋"/>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cs="仿宋"/>
                <w:position w:val="-9"/>
                <w:szCs w:val="21"/>
                <w:highlight w:val="none"/>
              </w:rPr>
            </w:pPr>
          </w:p>
        </w:tc>
      </w:tr>
    </w:tbl>
    <w:p>
      <w:pPr>
        <w:rPr>
          <w:rFonts w:hint="eastAsia" w:ascii="仿宋" w:hAnsi="仿宋" w:eastAsia="仿宋" w:cs="仿宋"/>
          <w:highlight w:val="none"/>
        </w:rPr>
      </w:pPr>
    </w:p>
    <w:p>
      <w:pPr>
        <w:rPr>
          <w:rFonts w:hint="eastAsia" w:ascii="仿宋" w:hAnsi="仿宋" w:eastAsia="仿宋" w:cs="仿宋"/>
          <w:highlight w:val="none"/>
        </w:rPr>
      </w:pPr>
    </w:p>
    <w:p>
      <w:pPr>
        <w:spacing w:line="360" w:lineRule="auto"/>
        <w:ind w:firstLine="3967" w:firstLineChars="1653"/>
        <w:rPr>
          <w:rFonts w:hint="eastAsia" w:ascii="仿宋" w:hAnsi="仿宋" w:eastAsia="仿宋" w:cs="仿宋"/>
          <w:sz w:val="24"/>
          <w:szCs w:val="24"/>
          <w:highlight w:val="none"/>
        </w:rPr>
      </w:pPr>
      <w:r>
        <w:rPr>
          <w:rFonts w:hint="eastAsia" w:ascii="仿宋" w:hAnsi="仿宋" w:eastAsia="仿宋" w:cs="仿宋"/>
          <w:sz w:val="24"/>
          <w:szCs w:val="24"/>
          <w:highlight w:val="none"/>
        </w:rPr>
        <w:t>响 应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（盖单位章）</w:t>
      </w:r>
    </w:p>
    <w:p>
      <w:pPr>
        <w:spacing w:line="360" w:lineRule="auto"/>
        <w:ind w:firstLine="3967" w:firstLineChars="1653"/>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w:t>
      </w:r>
    </w:p>
    <w:p>
      <w:pPr>
        <w:tabs>
          <w:tab w:val="left" w:pos="945"/>
          <w:tab w:val="right" w:leader="dot" w:pos="8040"/>
        </w:tabs>
        <w:ind w:firstLine="3960" w:firstLineChars="1650"/>
        <w:rPr>
          <w:rFonts w:hint="eastAsia" w:ascii="仿宋" w:hAnsi="仿宋" w:eastAsia="仿宋" w:cs="仿宋"/>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spacing w:line="440" w:lineRule="exact"/>
        <w:ind w:firstLine="3675" w:firstLineChars="1750"/>
        <w:rPr>
          <w:rFonts w:hint="eastAsia" w:ascii="仿宋" w:hAnsi="仿宋" w:eastAsia="仿宋" w:cs="仿宋"/>
          <w:highlight w:val="none"/>
        </w:rPr>
      </w:pPr>
    </w:p>
    <w:p>
      <w:pPr>
        <w:rPr>
          <w:rFonts w:hint="eastAsia" w:ascii="仿宋" w:hAnsi="仿宋" w:eastAsia="仿宋" w:cs="仿宋"/>
          <w:highlight w:val="none"/>
        </w:rPr>
      </w:pPr>
      <w:r>
        <w:rPr>
          <w:rFonts w:hint="eastAsia" w:ascii="仿宋" w:hAnsi="仿宋" w:eastAsia="仿宋" w:cs="仿宋"/>
          <w:highlight w:val="none"/>
        </w:rPr>
        <w:br w:type="page"/>
      </w:r>
    </w:p>
    <w:p>
      <w:pPr>
        <w:pStyle w:val="5"/>
        <w:numPr>
          <w:ilvl w:val="0"/>
          <w:numId w:val="18"/>
        </w:numPr>
        <w:rPr>
          <w:rFonts w:hint="eastAsia" w:cs="仿宋"/>
          <w:highlight w:val="none"/>
        </w:rPr>
      </w:pPr>
      <w:r>
        <w:rPr>
          <w:rFonts w:hint="eastAsia" w:cs="仿宋"/>
          <w:highlight w:val="none"/>
        </w:rPr>
        <w:t>系统建设方案</w:t>
      </w:r>
    </w:p>
    <w:p>
      <w:pPr>
        <w:rPr>
          <w:rFonts w:hint="eastAsia" w:ascii="仿宋" w:hAnsi="仿宋" w:eastAsia="仿宋" w:cs="仿宋"/>
          <w:highlight w:val="none"/>
        </w:rPr>
      </w:pPr>
      <w:r>
        <w:rPr>
          <w:rFonts w:hint="eastAsia" w:ascii="仿宋" w:hAnsi="仿宋" w:eastAsia="仿宋" w:cs="仿宋"/>
          <w:highlight w:val="none"/>
        </w:rPr>
        <w:t>（建设方案应包含建设目标、系统架构、系统功能等内容，格式自拟）</w:t>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5"/>
        <w:numPr>
          <w:ilvl w:val="0"/>
          <w:numId w:val="18"/>
        </w:numPr>
        <w:rPr>
          <w:rFonts w:hint="eastAsia" w:cs="仿宋"/>
          <w:highlight w:val="none"/>
        </w:rPr>
      </w:pPr>
      <w:bookmarkStart w:id="223" w:name="_Toc58490828"/>
      <w:r>
        <w:rPr>
          <w:rFonts w:hint="eastAsia" w:cs="仿宋"/>
          <w:highlight w:val="none"/>
        </w:rPr>
        <w:t>组织实施方案</w:t>
      </w:r>
    </w:p>
    <w:p>
      <w:pPr>
        <w:rPr>
          <w:rFonts w:hint="eastAsia" w:ascii="仿宋" w:hAnsi="仿宋" w:eastAsia="仿宋" w:cs="仿宋"/>
          <w:highlight w:val="none"/>
        </w:rPr>
      </w:pPr>
      <w:r>
        <w:rPr>
          <w:rFonts w:hint="eastAsia" w:ascii="仿宋" w:hAnsi="仿宋" w:eastAsia="仿宋" w:cs="仿宋"/>
          <w:highlight w:val="none"/>
        </w:rPr>
        <w:t>（组织实施方案应包含实施目标、资源保障、责任分工、资源统筹与协调等内容，格式自拟）</w:t>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5"/>
        <w:numPr>
          <w:ilvl w:val="0"/>
          <w:numId w:val="18"/>
        </w:numPr>
        <w:rPr>
          <w:rFonts w:hint="eastAsia" w:cs="仿宋"/>
          <w:highlight w:val="none"/>
        </w:rPr>
      </w:pPr>
      <w:r>
        <w:rPr>
          <w:rFonts w:hint="eastAsia" w:cs="仿宋"/>
          <w:highlight w:val="none"/>
        </w:rPr>
        <w:t>工期安排及质量保证</w:t>
      </w:r>
    </w:p>
    <w:p>
      <w:pPr>
        <w:rPr>
          <w:rFonts w:hint="eastAsia" w:ascii="仿宋" w:hAnsi="仿宋" w:eastAsia="仿宋" w:cs="仿宋"/>
          <w:highlight w:val="none"/>
        </w:rPr>
      </w:pPr>
      <w:r>
        <w:rPr>
          <w:rFonts w:hint="eastAsia" w:ascii="仿宋" w:hAnsi="仿宋" w:eastAsia="仿宋" w:cs="仿宋"/>
          <w:highlight w:val="none"/>
        </w:rPr>
        <w:t>（工期安排及质量保证应包含施工进度计划表、关键工期节点描述及确保项目按期交付高质量采取的保障措施等内容，格式自拟）</w:t>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5"/>
        <w:numPr>
          <w:ilvl w:val="0"/>
          <w:numId w:val="18"/>
        </w:numPr>
        <w:rPr>
          <w:rFonts w:hint="eastAsia" w:cs="仿宋"/>
          <w:highlight w:val="none"/>
        </w:rPr>
      </w:pPr>
      <w:r>
        <w:rPr>
          <w:rFonts w:hint="eastAsia" w:cs="仿宋"/>
          <w:highlight w:val="none"/>
        </w:rPr>
        <w:t>项目建设合理性意见</w:t>
      </w:r>
    </w:p>
    <w:p>
      <w:pPr>
        <w:rPr>
          <w:rFonts w:hint="eastAsia" w:ascii="仿宋" w:hAnsi="仿宋" w:eastAsia="仿宋" w:cs="仿宋"/>
          <w:highlight w:val="none"/>
        </w:rPr>
      </w:pPr>
      <w:r>
        <w:rPr>
          <w:rFonts w:hint="eastAsia" w:ascii="仿宋" w:hAnsi="仿宋" w:eastAsia="仿宋" w:cs="仿宋"/>
          <w:highlight w:val="none"/>
        </w:rPr>
        <w:t>（项目建设合理性意见应包含保证项目质量、提高施工效率、提高客户满意度等方面进行阐述，格式自拟）</w:t>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5"/>
        <w:numPr>
          <w:ilvl w:val="0"/>
          <w:numId w:val="18"/>
        </w:numPr>
        <w:rPr>
          <w:rFonts w:hint="eastAsia" w:cs="仿宋"/>
          <w:highlight w:val="none"/>
        </w:rPr>
      </w:pPr>
      <w:r>
        <w:rPr>
          <w:rFonts w:hint="eastAsia" w:cs="仿宋"/>
          <w:highlight w:val="none"/>
        </w:rPr>
        <w:t>培训方案</w:t>
      </w:r>
    </w:p>
    <w:p>
      <w:pPr>
        <w:rPr>
          <w:rFonts w:hint="eastAsia" w:ascii="仿宋" w:hAnsi="仿宋" w:eastAsia="仿宋" w:cs="仿宋"/>
          <w:highlight w:val="none"/>
        </w:rPr>
      </w:pPr>
      <w:r>
        <w:rPr>
          <w:rFonts w:hint="eastAsia" w:ascii="仿宋" w:hAnsi="仿宋" w:eastAsia="仿宋" w:cs="仿宋"/>
          <w:highlight w:val="none"/>
        </w:rPr>
        <w:t>（培训方案应包含培训目标、培训方式、培训频率等方面进行阐述，格式自拟）</w:t>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5"/>
        <w:numPr>
          <w:ilvl w:val="0"/>
          <w:numId w:val="18"/>
        </w:numPr>
        <w:rPr>
          <w:rFonts w:hint="eastAsia" w:cs="仿宋"/>
          <w:highlight w:val="none"/>
        </w:rPr>
      </w:pPr>
      <w:r>
        <w:rPr>
          <w:rFonts w:hint="eastAsia" w:cs="仿宋"/>
          <w:highlight w:val="none"/>
        </w:rPr>
        <w:t>售后服务方案</w:t>
      </w:r>
    </w:p>
    <w:p>
      <w:pPr>
        <w:rPr>
          <w:rFonts w:hint="eastAsia" w:ascii="仿宋" w:hAnsi="仿宋" w:eastAsia="仿宋" w:cs="仿宋"/>
          <w:highlight w:val="none"/>
        </w:rPr>
      </w:pPr>
      <w:r>
        <w:rPr>
          <w:rFonts w:hint="eastAsia" w:ascii="仿宋" w:hAnsi="仿宋" w:eastAsia="仿宋" w:cs="仿宋"/>
          <w:highlight w:val="none"/>
        </w:rPr>
        <w:t>（售后服务方案应包含售后承诺、售后标准、客户投诉处理等内容，格式自拟）</w:t>
      </w:r>
    </w:p>
    <w:p>
      <w:pPr>
        <w:rPr>
          <w:rFonts w:hint="eastAsia" w:ascii="仿宋" w:hAnsi="仿宋" w:eastAsia="仿宋" w:cs="仿宋"/>
          <w:sz w:val="24"/>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5"/>
        <w:numPr>
          <w:ilvl w:val="0"/>
          <w:numId w:val="18"/>
        </w:numPr>
        <w:rPr>
          <w:rFonts w:hint="eastAsia" w:cs="仿宋"/>
          <w:highlight w:val="none"/>
        </w:rPr>
      </w:pPr>
      <w:r>
        <w:rPr>
          <w:rFonts w:hint="eastAsia" w:cs="仿宋"/>
          <w:highlight w:val="none"/>
        </w:rPr>
        <w:t>技术要求及</w:t>
      </w:r>
      <w:bookmarkEnd w:id="223"/>
      <w:r>
        <w:rPr>
          <w:rFonts w:hint="eastAsia" w:cs="仿宋"/>
          <w:highlight w:val="none"/>
        </w:rPr>
        <w:t>质量标准</w:t>
      </w:r>
    </w:p>
    <w:p>
      <w:pPr>
        <w:rPr>
          <w:rFonts w:hint="eastAsia" w:ascii="仿宋" w:hAnsi="仿宋" w:eastAsia="仿宋" w:cs="仿宋"/>
          <w:highlight w:val="none"/>
        </w:rPr>
      </w:pPr>
    </w:p>
    <w:p>
      <w:pPr>
        <w:spacing w:line="40" w:lineRule="exact"/>
        <w:rPr>
          <w:rFonts w:hint="eastAsia" w:ascii="仿宋" w:hAnsi="仿宋" w:eastAsia="仿宋" w:cs="仿宋"/>
          <w:bCs/>
          <w:spacing w:val="20"/>
          <w:highlight w:val="none"/>
        </w:rPr>
      </w:pPr>
    </w:p>
    <w:bookmarkEnd w:id="0"/>
    <w:bookmarkEnd w:id="1"/>
    <w:bookmarkEnd w:id="2"/>
    <w:bookmarkEnd w:id="3"/>
    <w:p>
      <w:pPr>
        <w:pStyle w:val="6"/>
        <w:numPr>
          <w:ilvl w:val="0"/>
          <w:numId w:val="21"/>
        </w:numPr>
        <w:tabs>
          <w:tab w:val="left" w:pos="360"/>
          <w:tab w:val="left" w:pos="900"/>
        </w:tabs>
        <w:spacing w:before="120" w:after="120"/>
        <w:rPr>
          <w:rFonts w:hint="eastAsia" w:cs="仿宋"/>
          <w:sz w:val="24"/>
          <w:szCs w:val="24"/>
          <w:highlight w:val="none"/>
        </w:rPr>
      </w:pPr>
      <w:bookmarkStart w:id="224" w:name="_Toc15164"/>
      <w:r>
        <w:rPr>
          <w:rFonts w:hint="eastAsia" w:cs="仿宋"/>
          <w:sz w:val="24"/>
          <w:szCs w:val="24"/>
          <w:highlight w:val="none"/>
        </w:rPr>
        <w:t>项目实施内容要求</w:t>
      </w:r>
      <w:bookmarkEnd w:id="224"/>
    </w:p>
    <w:tbl>
      <w:tblPr>
        <w:tblStyle w:val="21"/>
        <w:tblW w:w="4998" w:type="pct"/>
        <w:tblInd w:w="0" w:type="dxa"/>
        <w:tblLayout w:type="autofit"/>
        <w:tblCellMar>
          <w:top w:w="0" w:type="dxa"/>
          <w:left w:w="108" w:type="dxa"/>
          <w:bottom w:w="0" w:type="dxa"/>
          <w:right w:w="108" w:type="dxa"/>
        </w:tblCellMar>
      </w:tblPr>
      <w:tblGrid>
        <w:gridCol w:w="542"/>
        <w:gridCol w:w="867"/>
        <w:gridCol w:w="819"/>
        <w:gridCol w:w="7054"/>
      </w:tblGrid>
      <w:tr>
        <w:tblPrEx>
          <w:tblCellMar>
            <w:top w:w="0" w:type="dxa"/>
            <w:left w:w="108" w:type="dxa"/>
            <w:bottom w:w="0" w:type="dxa"/>
            <w:right w:w="108" w:type="dxa"/>
          </w:tblCellMar>
        </w:tblPrEx>
        <w:trPr>
          <w:trHeight w:val="928"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bCs/>
                <w:color w:val="000000"/>
                <w:sz w:val="28"/>
                <w:szCs w:val="28"/>
                <w:highlight w:val="none"/>
              </w:rPr>
            </w:pPr>
            <w:r>
              <w:rPr>
                <w:rFonts w:ascii="仿宋_GB2312" w:hAnsi="宋体" w:eastAsia="仿宋_GB2312" w:cs="仿宋_GB2312"/>
                <w:b/>
                <w:bCs/>
                <w:color w:val="000000"/>
                <w:kern w:val="0"/>
                <w:sz w:val="28"/>
                <w:szCs w:val="28"/>
                <w:highlight w:val="none"/>
                <w:lang w:bidi="ar"/>
              </w:rPr>
              <w:t>序号</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bCs/>
                <w:color w:val="000000"/>
                <w:sz w:val="28"/>
                <w:szCs w:val="28"/>
                <w:highlight w:val="none"/>
              </w:rPr>
            </w:pPr>
            <w:r>
              <w:rPr>
                <w:rFonts w:ascii="仿宋_GB2312" w:hAnsi="宋体" w:eastAsia="仿宋_GB2312" w:cs="仿宋_GB2312"/>
                <w:b/>
                <w:bCs/>
                <w:color w:val="000000"/>
                <w:kern w:val="0"/>
                <w:sz w:val="28"/>
                <w:szCs w:val="28"/>
                <w:highlight w:val="none"/>
                <w:lang w:bidi="ar"/>
              </w:rPr>
              <w:t>系统名称</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bCs/>
                <w:color w:val="000000"/>
                <w:sz w:val="28"/>
                <w:szCs w:val="28"/>
                <w:highlight w:val="none"/>
              </w:rPr>
            </w:pPr>
            <w:r>
              <w:rPr>
                <w:rFonts w:ascii="仿宋_GB2312" w:hAnsi="宋体" w:eastAsia="仿宋_GB2312" w:cs="仿宋_GB2312"/>
                <w:b/>
                <w:bCs/>
                <w:color w:val="000000"/>
                <w:kern w:val="0"/>
                <w:sz w:val="28"/>
                <w:szCs w:val="28"/>
                <w:highlight w:val="none"/>
                <w:lang w:bidi="ar"/>
              </w:rPr>
              <w:t>模块</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bCs/>
                <w:color w:val="000000"/>
                <w:sz w:val="28"/>
                <w:szCs w:val="28"/>
                <w:highlight w:val="none"/>
              </w:rPr>
            </w:pPr>
            <w:r>
              <w:rPr>
                <w:rFonts w:ascii="仿宋_GB2312" w:hAnsi="宋体" w:eastAsia="仿宋_GB2312" w:cs="仿宋_GB2312"/>
                <w:b/>
                <w:bCs/>
                <w:color w:val="000000"/>
                <w:kern w:val="0"/>
                <w:sz w:val="28"/>
                <w:szCs w:val="28"/>
                <w:highlight w:val="none"/>
                <w:lang w:bidi="ar"/>
              </w:rPr>
              <w:t>功能介绍</w:t>
            </w:r>
          </w:p>
        </w:tc>
      </w:tr>
      <w:tr>
        <w:tblPrEx>
          <w:tblCellMar>
            <w:top w:w="0" w:type="dxa"/>
            <w:left w:w="108" w:type="dxa"/>
            <w:bottom w:w="0" w:type="dxa"/>
            <w:right w:w="108" w:type="dxa"/>
          </w:tblCellMar>
        </w:tblPrEx>
        <w:trPr>
          <w:trHeight w:val="318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1</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特殊教育教学系统</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数据管理后台</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专为特殊教育学校打造的一体化数据管理后台。对基于特殊教育需求开发的应用进行全面管理与灵活配置，确保学校数据安全、应用有序运行，助力特殊教育学校实现数字化转型与高质量发展。</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1.应用权限设置：定义不同用户角色在系统各模块的访问与操作权限，超级管理员可灵活设置其他用户权限。</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2.角色管理：支持角色创建、编辑、分配及权限查看，满足组织架构变化需求，管理员可轻松完成角色管理。</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3.部门管理：以树状结构展示组织架构，支持教师信息导入、编辑，由超级管理员或相应权限管理员进行权限控制。</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4.家校通讯录管理：清晰展示通讯录层级结构，支持学生信息编辑，管理员可查看编辑，非管理员权限受限。</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5.毕业生管理：仅展示已毕业年级信息，支持查看和编辑毕业生信息，由管理员进行权限控制。</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6.教学信息管理：支持学期初始化、编辑学期时间，由管理员操作，确保教学信息准确安全。</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7.学科管理：支持学科查看、添加、删除、重命名及自定义学科添加，由管理员操作，确保学科信息安全。</w:t>
            </w:r>
          </w:p>
        </w:tc>
      </w:tr>
      <w:tr>
        <w:tblPrEx>
          <w:tblCellMar>
            <w:top w:w="0" w:type="dxa"/>
            <w:left w:w="108" w:type="dxa"/>
            <w:bottom w:w="0" w:type="dxa"/>
            <w:right w:w="108" w:type="dxa"/>
          </w:tblCellMar>
        </w:tblPrEx>
        <w:trPr>
          <w:trHeight w:val="846"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2</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color w:val="000000"/>
                <w:sz w:val="28"/>
                <w:szCs w:val="28"/>
                <w:highlight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个别化教学</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1. 支持管理员批量发布个别化教学活动，老师发布班级活动两种形式</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 支持打卡、周期、按次等多种活动类型</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3.★支持学生、老师等多种提交、审核方式，老师可按班主任、学科进行批量设置，该活动限定设置的相关老师查看审核，其他老师不可见</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4.★支持活动与勋章、成长画像指标关联，根据活动完成情况，点亮勋章、获得成长值等。</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5.★勋章须支持两级，分为大勋章及小勋章，小勋章点亮后，大勋章自动点亮</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6.★发布活动时，可关联勋章，并设置勋章点亮条件，支持不同活动的间不同的勋章达成条件，学生达到条件时，系统自动发放勋章</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7. 支持自动审核活动，设置审核星级和成长值</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8. 提交活动时，需支持文字、图片、视频等多种提交方式</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9. 支持每次活动的完成情况，按未完成、已提交、未批阅、已完成等多种状态进行罗列统计</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10.★支持设置班级活动成长值上限，按周期对学科进行积分授权，如：语文老师每月每班可发放100成长值，数学老师每周每班课可发放50成长值等</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11.★支持管理员在该系统内可实时查看当前活动数据统计，统计需包含班级维度、学生维度、教师维度等，内容包括提交、批阅次数等。</w:t>
            </w:r>
          </w:p>
        </w:tc>
      </w:tr>
      <w:tr>
        <w:tblPrEx>
          <w:tblCellMar>
            <w:top w:w="0" w:type="dxa"/>
            <w:left w:w="108" w:type="dxa"/>
            <w:bottom w:w="0" w:type="dxa"/>
            <w:right w:w="108" w:type="dxa"/>
          </w:tblCellMar>
        </w:tblPrEx>
        <w:trPr>
          <w:trHeight w:val="282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3</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color w:val="000000"/>
                <w:sz w:val="28"/>
                <w:szCs w:val="28"/>
                <w:highlight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学生观察</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1. 支持按年级，为每个班级批量生成点评小组，小组统一设置关联指标，并在指标下设置相关的点评标签和点评分值</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 ★生成的小组，支持授权老师（按学科和班主任角色添加授权教师）更改自己班级的点评标签，适应不同班级的个性化需求</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 支持教师按班级名单，对学生进行点评，点评内容需包含指标、标签、分值，并可选填评价和照片</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4. ★支持点评信息推送，点评后将一日汇总数据推送给家长，推送信息除个人点评信息外，提供当日班级平均数据统计</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5. 支持教师查看班内点评的明细数据，以及学生在每个指标下的统计数据，统计数据根据选择的时间范围自动汇总</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6. ★支持管理员配置小组的积分转化规则，将班内点评数据按排名批量转化为成长值，并将成长值汇总到成长画像</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7. ★支持自定义设置班级点评到成长值的转化规则，可按小组、指标进行设置，如：自定义设置转化周期、自定义设置排名分段、分段对应成长值等</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8. ★支持管理员在该系统内可实时查看数据统计，需包含班级、学生维度各指标的评价评次数、评价分值，教师维度的评价次数与评价分值</w:t>
            </w:r>
          </w:p>
        </w:tc>
      </w:tr>
      <w:tr>
        <w:tblPrEx>
          <w:tblCellMar>
            <w:top w:w="0" w:type="dxa"/>
            <w:left w:w="108" w:type="dxa"/>
            <w:bottom w:w="0" w:type="dxa"/>
            <w:right w:w="108" w:type="dxa"/>
          </w:tblCellMar>
        </w:tblPrEx>
        <w:trPr>
          <w:trHeight w:val="838"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4</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color w:val="000000"/>
                <w:sz w:val="28"/>
                <w:szCs w:val="28"/>
                <w:highlight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社会适应实践</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1. 支持实体卡、在线积分多种积分发放形式</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 ★积分发放支持按成长画像指标进行设置，可设置每个指标下每次发放的分值</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 管理员可在后台设置实体积分卡，设置积分卡名称、关联指标、卡片分值、卡片数量，并下载卡片相关信息，安排打印</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4. 实体卡可通过手机扫码，将对应积分同步至系统，每张积分卡仅限一次扫码</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5. ★管理员可在后台设置在线奖卡的名称、关联指标、关联年级、分值，授权操作人</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6. 在线奖卡授权操作人，支持按学科、班主任进行授权，可根据周、月、学期限制每个班级的发放数量</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7. 管理员可发放全部在线奖卡，并不限制发放数量</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8. 在线奖卡发放后，自动通过钉钉，将一日汇总数据推送给家长</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9. 支持奖品兑换功能，管理员可在后台设置奖品兑换开放时间，仅在兑换时间开放积分兑换</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10. 支持管理员在后台设置奖品信息，包含奖品名称、图片、库存、兑换所需积分数量等信息</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11. 平台内支持管理员查看全校兑换记录，老师可查看自己班级全部学生兑换记录，家长可查看学生个人兑换记录</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12. 支持家长在手机端进行兑换，老师可在手机端协助学生完成兑换</w:t>
            </w:r>
            <w:r>
              <w:rPr>
                <w:rFonts w:hint="eastAsia" w:ascii="仿宋_GB2312" w:hAnsi="宋体" w:eastAsia="仿宋_GB2312" w:cs="仿宋_GB2312"/>
                <w:color w:val="000000"/>
                <w:kern w:val="0"/>
                <w:sz w:val="24"/>
                <w:szCs w:val="24"/>
                <w:highlight w:val="none"/>
                <w:lang w:bidi="ar"/>
              </w:rPr>
              <w:t>。</w:t>
            </w:r>
          </w:p>
        </w:tc>
      </w:tr>
      <w:tr>
        <w:tblPrEx>
          <w:tblCellMar>
            <w:top w:w="0" w:type="dxa"/>
            <w:left w:w="108" w:type="dxa"/>
            <w:bottom w:w="0" w:type="dxa"/>
            <w:right w:w="108" w:type="dxa"/>
          </w:tblCellMar>
        </w:tblPrEx>
        <w:trPr>
          <w:trHeight w:val="176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5</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color w:val="000000"/>
                <w:sz w:val="28"/>
                <w:szCs w:val="28"/>
                <w:highlight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成长观察周报</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1.数据闭环处理：通过“数据采集-智能分析-多模态输出-家校协同”流程，全面处理学生表现数据。</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2.总结文案生成：将复杂学生数据转化为家长易理解的总结性文案。</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3.无障碍沟通支持：提供语音播报等沟通方式，降低家长参与门槛。</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4.家校协同育人：构建精准化家校协同机制，共同助力学生成长。</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5.适配教育支持：为特殊需要学生提供更适配其发展节奏的教育支持。</w:t>
            </w:r>
          </w:p>
        </w:tc>
      </w:tr>
      <w:tr>
        <w:tblPrEx>
          <w:tblCellMar>
            <w:top w:w="0" w:type="dxa"/>
            <w:left w:w="108" w:type="dxa"/>
            <w:bottom w:w="0" w:type="dxa"/>
            <w:right w:w="108" w:type="dxa"/>
          </w:tblCellMar>
        </w:tblPrEx>
        <w:trPr>
          <w:trHeight w:val="1125"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6</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color w:val="000000"/>
                <w:sz w:val="28"/>
                <w:szCs w:val="28"/>
                <w:highlight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个性化期末报告单</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指标模版</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 支持按年级配置个性化成绩单模板，支持复制模版，快速完成复用和个性化编辑，减轻教师工作量</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 可自定义评价模块名称、学科分类及分项评价指标；提供五育分类名称自定义功能，适配地方特色评价体系</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 ★分项评价支持关联日常教学应用数据（如个别化教学、学生观察、社会适应实践等）</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4. 内置ABCD等级制、优良中差评语制、星级评分制等多套等第显示方案，特别适配小学阶段展示需求</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5. ★提供分值转等级计算规则（如90分以上自动标为A），支持按班级排名百分比自动换算等第（如前10%标为A）</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评价列表</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 ★支持根据指标模版，按年级生成评价信息，评价生成后，可设置自动执行时间或手动点击执行，进行数据转化及运算，单次执行需在1分钟内完成计算，并显示在学生评价列表内</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 ★支持为教师提供不同的数据权限，如根据授课班级，提过查看、编辑权限；同时支持管理员查看全部班级数据，并支持管理员查看、编辑、删除等更多操作</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 ★提供数据归档功能，归档后，评价信息固化存档不可修改，并与指标模版取消关联，指标模版信息修改后，不影响已归档的数据内容</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成绩单</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 ★支持通过钉钉将电子成绩单推送给家长，成绩单内展示各科分项能力信息，以及对应的能力雷达图等</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 系统支持纸质成绩单生成pdf文件，为老师提供批量、单个下载入口</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 ★纸质成绩单内，可提供电子成绩单的二维码入口，扫码查看，解决部分家长不善于使用智能设备的问题</w:t>
            </w:r>
          </w:p>
        </w:tc>
      </w:tr>
      <w:tr>
        <w:tblPrEx>
          <w:tblCellMar>
            <w:top w:w="0" w:type="dxa"/>
            <w:left w:w="108" w:type="dxa"/>
            <w:bottom w:w="0" w:type="dxa"/>
            <w:right w:w="108" w:type="dxa"/>
          </w:tblCellMar>
        </w:tblPrEx>
        <w:trPr>
          <w:trHeight w:val="212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7</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color w:val="000000"/>
                <w:sz w:val="28"/>
                <w:szCs w:val="28"/>
                <w:highlight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特教教研智能体</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★1.基于钉钉平台搭建，打通学校通讯录与软件系统底层数据壁垒，实现无缝账号集成与权限管理，支持钉钉通讯录同步，构建数据通道，为后续功能拓展奠定坚实基础。</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2.依托DeepSeek技术平台，提供大模型基础对话，能够自由对话交流并生成满足个性化需求的内容，同时保留对话历史记录有迹可查。</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3.教学空间能涵盖教案设计、教研活动记录、项目化学习、教学反思、作业设计、知识点解答、引导学生思考、AI评语、个性化学习规划等多元化A功能。</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★4.同时生成的结果需要能够支持一键转化为PDF文档，方便下载保存，如果对生成结果不满意，可以继续追问。</w:t>
            </w:r>
          </w:p>
        </w:tc>
      </w:tr>
      <w:tr>
        <w:tblPrEx>
          <w:tblCellMar>
            <w:top w:w="0" w:type="dxa"/>
            <w:left w:w="108" w:type="dxa"/>
            <w:bottom w:w="0" w:type="dxa"/>
            <w:right w:w="108" w:type="dxa"/>
          </w:tblCellMar>
        </w:tblPrEx>
        <w:trPr>
          <w:trHeight w:val="841"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8</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学校综合管理系统</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校园AI值周</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1. 支持通过手机、pad、电脑等多终端进行记录</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 支持自定义值周小组，在不同小组内设置不同的负责人进行评价，可通过标签、分值实时记录班级校园表现</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 ★支持设置值周排班组，排班人员在排班时间内，自动获取值周权限，排班时间外移动移除值周权限，便于学校管理</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4. 支持自定义值周评价标签模板，如一级分类、二级分类、值周评价标签、分数等；</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5. 支持通过文字、图片多种形式记录，教师可延迟记录，如第二天对前一天的值周信息进行记录；</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6. 支持每日值周点评、值周小结实时通知相关老师，根据钉钉班主任设置及时通知值周点评、值周小结情况；</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7. 及时统计各班级和排名情况，默认使用当前周进行统计，老师可自行筛选时间，进行查看</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8. ★支持颁发流动红旗，颁发时可实时查看对应时间段，班级的得分分值，以及在同年级、全部的排名情况，减轻老师工作量</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9. 提供值周点评、流动红旗等多种数据的明细、统计报表，支持下载功能</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10. ★支持查看多小组汇总数据，将同班级在多个小组内，相同分类的评价进行合并，进一步为值周负责人提供详细的数据看板</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11. ★支持查看教师点评信息，查看不同值周老师的点评次数、点评分值，并支持加分、提醒、扣分等多种点评维度的统计</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12. ★支持AI语音点评，可口头描述值周现场，系统识别语音并自动匹配值周标签，经老师确认后，完成值周点评</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13. ★支持AI值周小结，根据本周的值周点评情况，自动生成文本总结信息，需包含总体情况、亮点、主要问题、改进意见等</w:t>
            </w:r>
          </w:p>
        </w:tc>
      </w:tr>
      <w:tr>
        <w:tblPrEx>
          <w:tblCellMar>
            <w:top w:w="0" w:type="dxa"/>
            <w:left w:w="108" w:type="dxa"/>
            <w:bottom w:w="0" w:type="dxa"/>
            <w:right w:w="108" w:type="dxa"/>
          </w:tblCellMar>
        </w:tblPrEx>
        <w:trPr>
          <w:trHeight w:val="942"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9</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color w:val="000000"/>
                <w:sz w:val="28"/>
                <w:szCs w:val="28"/>
                <w:highlight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AI安防</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主页</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1.展示校园安全管理理念，强调安全工作宗旨。统计展示摄像头、预警信息、处理意见及参与安防教师数量。</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2.图表对比低危、高危预警信息比例，凸显风险重点。</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3.图表呈现已处理和未处理预警信息占比，反映处理进度。</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数据大屏</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1.实时监控，展示重点区域实时画面，掌握现场动态。</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2.分析图表，多维度分析如周界入侵事件数量变化，辅助决策。</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3.统计各时段预警总量及低危、高危信息，分析环比。卡片展示最新预警及类型，可查详情。</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记录</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1.查询功能：按报警时间等条件查询报警记录。</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2.详情展示：呈现报警设备、时间、类型、关联摄像头及图片视频等，可查详情。</w:t>
            </w:r>
          </w:p>
        </w:tc>
      </w:tr>
      <w:tr>
        <w:tblPrEx>
          <w:tblCellMar>
            <w:top w:w="0" w:type="dxa"/>
            <w:left w:w="108" w:type="dxa"/>
            <w:bottom w:w="0" w:type="dxa"/>
            <w:right w:w="108" w:type="dxa"/>
          </w:tblCellMar>
        </w:tblPrEx>
        <w:trPr>
          <w:trHeight w:val="248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10</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color w:val="000000"/>
                <w:sz w:val="28"/>
                <w:szCs w:val="28"/>
                <w:highlight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学生成长画像</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1. 支持家长查看孩子个人画像，深度结合学校场景，全面记录特殊学生在学习、生活等多方面的成长信息，包括但不仅限于学生观察、社会适应实践，构建完整成长画像。</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 ★画像需自动关联学生观察、社会适应实践活动等多维度数据，根据指标体系进行实时汇总</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 支持自定义指标配置，需支持五育、指标两层结构</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4. ★支持以树苗逐步长大，开花结果的形式，体现学生个人成长</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5. 支持每个学期生成学生的成长树状态生成，可切换学期查看对应成长状态</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6. ★支持成长值的数据统计，可按成长值分类，查看学生在各个类目下的分值</w:t>
            </w:r>
          </w:p>
        </w:tc>
      </w:tr>
      <w:tr>
        <w:tblPrEx>
          <w:tblCellMar>
            <w:top w:w="0" w:type="dxa"/>
            <w:left w:w="108" w:type="dxa"/>
            <w:bottom w:w="0" w:type="dxa"/>
            <w:right w:w="108" w:type="dxa"/>
          </w:tblCellMar>
        </w:tblPrEx>
        <w:trPr>
          <w:trHeight w:val="1833"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11</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color w:val="000000"/>
                <w:sz w:val="28"/>
                <w:szCs w:val="28"/>
                <w:highlight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成长森林</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1.★多维度成长记录：深度结合学校场景，全面记录特殊学生在学习、生活等多方面的成长信息，包括但不仅限于学生观察、社会适应实践，构建完整成长画像。</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2.灵活指标管理：关联成长画像系统的成长指标及相关数据，满足不同学生的个性化评估需求。</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3.成长值动态追踪：实时追踪班级学生的成长值变化，直观呈现成长进程，及时发现成长中的优势与不足。</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4.★支持以树苗逐步长大，开花结果的形式，体现班级学生成长，并支持老师查看班内每个学生的个人成长树</w:t>
            </w:r>
            <w:r>
              <w:rPr>
                <w:rFonts w:ascii="仿宋_GB2312" w:hAnsi="宋体" w:eastAsia="仿宋_GB2312" w:cs="仿宋_GB2312"/>
                <w:color w:val="000000"/>
                <w:kern w:val="0"/>
                <w:sz w:val="24"/>
                <w:szCs w:val="24"/>
                <w:highlight w:val="none"/>
                <w:lang w:bidi="ar"/>
              </w:rPr>
              <w:br w:type="textWrapping"/>
            </w:r>
            <w:r>
              <w:rPr>
                <w:rFonts w:hint="eastAsia" w:ascii="仿宋_GB2312" w:hAnsi="宋体" w:eastAsia="仿宋_GB2312" w:cs="仿宋_GB2312"/>
                <w:color w:val="000000"/>
                <w:kern w:val="0"/>
                <w:sz w:val="24"/>
                <w:szCs w:val="24"/>
                <w:highlight w:val="none"/>
                <w:lang w:bidi="ar"/>
              </w:rPr>
              <w:t>5</w:t>
            </w:r>
            <w:r>
              <w:rPr>
                <w:rFonts w:ascii="仿宋_GB2312" w:hAnsi="宋体" w:eastAsia="仿宋_GB2312" w:cs="仿宋_GB2312"/>
                <w:color w:val="000000"/>
                <w:kern w:val="0"/>
                <w:sz w:val="24"/>
                <w:szCs w:val="24"/>
                <w:highlight w:val="none"/>
                <w:lang w:bidi="ar"/>
              </w:rPr>
              <w:t>.★支持成长值的数据统计，可按成长值分类，查看班级在各个类目下的分值</w:t>
            </w:r>
          </w:p>
        </w:tc>
      </w:tr>
      <w:tr>
        <w:tblPrEx>
          <w:tblCellMar>
            <w:top w:w="0" w:type="dxa"/>
            <w:left w:w="108" w:type="dxa"/>
            <w:bottom w:w="0" w:type="dxa"/>
            <w:right w:w="108" w:type="dxa"/>
          </w:tblCellMar>
        </w:tblPrEx>
        <w:trPr>
          <w:trHeight w:val="605"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12</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数据大屏</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8"/>
                <w:szCs w:val="28"/>
                <w:highlight w:val="none"/>
              </w:rPr>
            </w:pPr>
            <w:r>
              <w:rPr>
                <w:rFonts w:ascii="仿宋_GB2312" w:hAnsi="宋体" w:eastAsia="仿宋_GB2312" w:cs="仿宋_GB2312"/>
                <w:color w:val="000000"/>
                <w:kern w:val="0"/>
                <w:sz w:val="28"/>
                <w:szCs w:val="28"/>
                <w:highlight w:val="none"/>
                <w:lang w:bidi="ar"/>
              </w:rPr>
              <w:t>数据场景屏</w:t>
            </w:r>
          </w:p>
        </w:tc>
        <w:tc>
          <w:tcPr>
            <w:tcW w:w="37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可视化场景屏操作平台，在平台内可快速编辑、发布场景大屏信息，需具体以下功能;</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1.多维度数据仪表盘：专业图表库：集成柱状图、饼图、折线图、热力图、雷达图等20+种专业图表类型，每种图表均支持自定义样式与交互设置，满足不同数据可视化需求。</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2.★丰富组件类型：提供容器、通用、Echarts图表、G2图表、三维图表、自定义组件等多种组件类型，组件数量不低于60个。每个组件均支持拖拽式排版与自定义样式设置，满足校园文化宣传的多样化需求。</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3.★区块管理体系：允许用户自由地对各类组件进行组合操作，用户能够依据自身需求，将文本、图片、图表、视频等不同类型的组件，按照特定的布局、样式和逻辑关系进行随心搭配与整合，形成一个完整的、具有特定功能和展示效果的内容单元。</w:t>
            </w:r>
            <w:r>
              <w:rPr>
                <w:rFonts w:ascii="仿宋_GB2312" w:hAnsi="宋体" w:eastAsia="仿宋_GB2312" w:cs="仿宋_GB2312"/>
                <w:color w:val="000000"/>
                <w:kern w:val="0"/>
                <w:sz w:val="24"/>
                <w:szCs w:val="24"/>
                <w:highlight w:val="none"/>
                <w:lang w:bidi="ar"/>
              </w:rPr>
              <w:br w:type="textWrapping"/>
            </w:r>
            <w:r>
              <w:rPr>
                <w:rFonts w:ascii="仿宋_GB2312" w:hAnsi="宋体" w:eastAsia="仿宋_GB2312" w:cs="仿宋_GB2312"/>
                <w:color w:val="000000"/>
                <w:kern w:val="0"/>
                <w:sz w:val="24"/>
                <w:szCs w:val="24"/>
                <w:highlight w:val="none"/>
                <w:lang w:bidi="ar"/>
              </w:rPr>
              <w:t>4.★在完成组件组合后，系统支持将这些精心搭配的组件组合批量保存为区块，这些区块就像是一个个可重复利用的“模板积木”，每个区块都包含了其内部所有组件的详细信息、布局规则以及样式设置等；用户可以根据不同的应用场景和展示需求，自定义选择并利用这些已保存的区块。</w:t>
            </w:r>
          </w:p>
        </w:tc>
      </w:tr>
    </w:tbl>
    <w:p>
      <w:pPr>
        <w:rPr>
          <w:rFonts w:hint="eastAsia" w:ascii="仿宋" w:hAnsi="仿宋" w:eastAsia="仿宋" w:cs="仿宋"/>
          <w:b/>
          <w:bCs/>
          <w:highlight w:val="none"/>
        </w:rPr>
      </w:pPr>
    </w:p>
    <w:p>
      <w:pPr>
        <w:widowControl/>
        <w:jc w:val="left"/>
        <w:rPr>
          <w:szCs w:val="20"/>
          <w:highlight w:val="none"/>
        </w:rPr>
      </w:pPr>
      <w:r>
        <w:rPr>
          <w:highlight w:val="none"/>
        </w:rPr>
        <w:br w:type="page"/>
      </w:r>
    </w:p>
    <w:p>
      <w:pPr>
        <w:pStyle w:val="8"/>
        <w:rPr>
          <w:highlight w:val="none"/>
        </w:rPr>
      </w:pPr>
    </w:p>
    <w:p>
      <w:pPr>
        <w:pStyle w:val="6"/>
        <w:numPr>
          <w:ilvl w:val="0"/>
          <w:numId w:val="21"/>
        </w:numPr>
        <w:tabs>
          <w:tab w:val="left" w:pos="360"/>
          <w:tab w:val="left" w:pos="900"/>
        </w:tabs>
        <w:spacing w:before="120" w:after="120"/>
        <w:rPr>
          <w:rFonts w:hint="eastAsia" w:cs="仿宋"/>
          <w:sz w:val="24"/>
          <w:szCs w:val="24"/>
          <w:highlight w:val="none"/>
        </w:rPr>
      </w:pPr>
      <w:bookmarkStart w:id="225" w:name="_Toc29035"/>
      <w:r>
        <w:rPr>
          <w:rFonts w:hint="eastAsia" w:cs="仿宋"/>
          <w:sz w:val="24"/>
          <w:szCs w:val="24"/>
          <w:highlight w:val="none"/>
        </w:rPr>
        <w:t>硬件产品服务清单</w:t>
      </w:r>
      <w:bookmarkEnd w:id="225"/>
    </w:p>
    <w:tbl>
      <w:tblPr>
        <w:tblStyle w:val="21"/>
        <w:tblW w:w="4999" w:type="pct"/>
        <w:tblInd w:w="0" w:type="dxa"/>
        <w:tblLayout w:type="autofit"/>
        <w:tblCellMar>
          <w:top w:w="0" w:type="dxa"/>
          <w:left w:w="108" w:type="dxa"/>
          <w:bottom w:w="0" w:type="dxa"/>
          <w:right w:w="108" w:type="dxa"/>
        </w:tblCellMar>
      </w:tblPr>
      <w:tblGrid>
        <w:gridCol w:w="1175"/>
        <w:gridCol w:w="1176"/>
        <w:gridCol w:w="5757"/>
        <w:gridCol w:w="1176"/>
      </w:tblGrid>
      <w:tr>
        <w:tblPrEx>
          <w:tblCellMar>
            <w:top w:w="0" w:type="dxa"/>
            <w:left w:w="108" w:type="dxa"/>
            <w:bottom w:w="0" w:type="dxa"/>
            <w:right w:w="108" w:type="dxa"/>
          </w:tblCellMar>
        </w:tblPrEx>
        <w:trPr>
          <w:trHeight w:val="420" w:hRule="atLeast"/>
        </w:trPr>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bCs/>
                <w:color w:val="000000"/>
                <w:sz w:val="24"/>
                <w:szCs w:val="24"/>
                <w:highlight w:val="none"/>
              </w:rPr>
            </w:pPr>
            <w:r>
              <w:rPr>
                <w:rFonts w:ascii="仿宋_GB2312" w:hAnsi="宋体" w:eastAsia="仿宋_GB2312" w:cs="仿宋_GB2312"/>
                <w:b/>
                <w:bCs/>
                <w:color w:val="000000"/>
                <w:kern w:val="0"/>
                <w:sz w:val="24"/>
                <w:szCs w:val="24"/>
                <w:highlight w:val="none"/>
                <w:lang w:bidi="ar"/>
              </w:rPr>
              <w:t>序号</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bCs/>
                <w:color w:val="000000"/>
                <w:sz w:val="24"/>
                <w:szCs w:val="24"/>
                <w:highlight w:val="none"/>
              </w:rPr>
            </w:pPr>
            <w:r>
              <w:rPr>
                <w:rFonts w:ascii="仿宋_GB2312" w:hAnsi="宋体" w:eastAsia="仿宋_GB2312" w:cs="仿宋_GB2312"/>
                <w:b/>
                <w:bCs/>
                <w:color w:val="000000"/>
                <w:kern w:val="0"/>
                <w:sz w:val="24"/>
                <w:szCs w:val="24"/>
                <w:highlight w:val="none"/>
                <w:lang w:bidi="ar"/>
              </w:rPr>
              <w:t>名称</w:t>
            </w:r>
          </w:p>
        </w:tc>
        <w:tc>
          <w:tcPr>
            <w:tcW w:w="31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bCs/>
                <w:color w:val="000000"/>
                <w:sz w:val="24"/>
                <w:szCs w:val="24"/>
                <w:highlight w:val="none"/>
              </w:rPr>
            </w:pPr>
            <w:r>
              <w:rPr>
                <w:rFonts w:ascii="仿宋_GB2312" w:hAnsi="宋体" w:eastAsia="仿宋_GB2312" w:cs="仿宋_GB2312"/>
                <w:b/>
                <w:bCs/>
                <w:color w:val="000000"/>
                <w:kern w:val="0"/>
                <w:sz w:val="24"/>
                <w:szCs w:val="24"/>
                <w:highlight w:val="none"/>
                <w:lang w:bidi="ar"/>
              </w:rPr>
              <w:t>参数要求</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bCs/>
                <w:color w:val="000000"/>
                <w:sz w:val="24"/>
                <w:szCs w:val="24"/>
                <w:highlight w:val="none"/>
              </w:rPr>
            </w:pPr>
            <w:r>
              <w:rPr>
                <w:rFonts w:ascii="仿宋_GB2312" w:hAnsi="宋体" w:eastAsia="仿宋_GB2312" w:cs="仿宋_GB2312"/>
                <w:b/>
                <w:bCs/>
                <w:color w:val="000000"/>
                <w:kern w:val="0"/>
                <w:sz w:val="24"/>
                <w:szCs w:val="24"/>
                <w:highlight w:val="none"/>
                <w:lang w:bidi="ar"/>
              </w:rPr>
              <w:t>数量</w:t>
            </w:r>
          </w:p>
        </w:tc>
      </w:tr>
      <w:tr>
        <w:tblPrEx>
          <w:tblCellMar>
            <w:top w:w="0" w:type="dxa"/>
            <w:left w:w="108" w:type="dxa"/>
            <w:bottom w:w="0" w:type="dxa"/>
            <w:right w:w="108" w:type="dxa"/>
          </w:tblCellMar>
        </w:tblPrEx>
        <w:trPr>
          <w:trHeight w:val="3356" w:hRule="atLeast"/>
        </w:trPr>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1</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社会适应实践平台兑换一体机/台</w:t>
            </w:r>
          </w:p>
        </w:tc>
        <w:tc>
          <w:tcPr>
            <w:tcW w:w="31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国产配置</w:t>
            </w:r>
            <w:r>
              <w:rPr>
                <w:rFonts w:hint="eastAsia" w:ascii="仿宋_GB2312" w:hAnsi="宋体" w:eastAsia="仿宋_GB2312" w:cs="仿宋_GB2312"/>
                <w:color w:val="000000"/>
                <w:kern w:val="0"/>
                <w:sz w:val="24"/>
                <w:szCs w:val="24"/>
                <w:highlight w:val="none"/>
                <w:lang w:bidi="ar"/>
              </w:rPr>
              <w:tab/>
            </w:r>
            <w:r>
              <w:rPr>
                <w:rFonts w:hint="eastAsia" w:ascii="仿宋_GB2312" w:hAnsi="宋体" w:eastAsia="仿宋_GB2312" w:cs="仿宋_GB2312"/>
                <w:color w:val="000000"/>
                <w:kern w:val="0"/>
                <w:sz w:val="24"/>
                <w:szCs w:val="24"/>
                <w:highlight w:val="none"/>
                <w:lang w:bidi="ar"/>
              </w:rPr>
              <w:t>1.</w:t>
            </w:r>
            <w:r>
              <w:rPr>
                <w:rFonts w:hint="eastAsia" w:ascii="仿宋_GB2312" w:hAnsi="宋体" w:eastAsia="仿宋_GB2312" w:cs="仿宋_GB2312"/>
                <w:color w:val="000000"/>
                <w:kern w:val="0"/>
                <w:sz w:val="24"/>
                <w:szCs w:val="24"/>
                <w:highlight w:val="none"/>
                <w:lang w:bidi="ar"/>
              </w:rPr>
              <w:tab/>
            </w:r>
            <w:r>
              <w:rPr>
                <w:rFonts w:hint="eastAsia" w:ascii="仿宋_GB2312" w:hAnsi="宋体" w:eastAsia="仿宋_GB2312" w:cs="仿宋_GB2312"/>
                <w:color w:val="000000"/>
                <w:kern w:val="0"/>
                <w:sz w:val="24"/>
                <w:szCs w:val="24"/>
                <w:highlight w:val="none"/>
                <w:lang w:bidi="ar"/>
              </w:rPr>
              <w:t>触摸技术：具备投射式电容技术，支持电容G+G触摸方案；具备10点有效触摸；触摸精度≤2mm，响应时间≤5ms；免驱方式：具备USB接口；点击次数≥5000万次.</w:t>
            </w:r>
          </w:p>
          <w:p>
            <w:pPr>
              <w:widowControl/>
              <w:jc w:val="left"/>
              <w:textAlignment w:val="center"/>
              <w:rPr>
                <w:rFonts w:hint="eastAsia" w:ascii="仿宋_GB2312" w:hAnsi="宋体" w:eastAsia="仿宋_GB2312" w:cs="仿宋_GB2312"/>
                <w:color w:val="000000"/>
                <w:sz w:val="24"/>
                <w:szCs w:val="24"/>
                <w:highlight w:val="none"/>
              </w:rPr>
            </w:pPr>
            <w:r>
              <w:rPr>
                <w:rFonts w:hint="eastAsia" w:ascii="仿宋_GB2312" w:hAnsi="宋体" w:eastAsia="仿宋_GB2312" w:cs="仿宋_GB2312"/>
                <w:color w:val="000000"/>
                <w:kern w:val="0"/>
                <w:sz w:val="24"/>
                <w:szCs w:val="24"/>
                <w:highlight w:val="none"/>
                <w:lang w:bidi="ar"/>
              </w:rPr>
              <w:t>2.配置：具备≥200W高清双目宽动态摄像头。支持ID&amp;IC卡125KHz和13.56MHz（iso14443A/B）卡片。宽度≥54mm，长度≥86mm，厚度范围≥0.2mm--1.2mm的卡片。具备CMOS图像传感器，分辨率≥640*480，全局曝光技术。</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1</w:t>
            </w:r>
          </w:p>
        </w:tc>
      </w:tr>
      <w:tr>
        <w:tblPrEx>
          <w:tblCellMar>
            <w:top w:w="0" w:type="dxa"/>
            <w:left w:w="108" w:type="dxa"/>
            <w:bottom w:w="0" w:type="dxa"/>
            <w:right w:w="108" w:type="dxa"/>
          </w:tblCellMar>
        </w:tblPrEx>
        <w:trPr>
          <w:trHeight w:val="2024" w:hRule="atLeast"/>
        </w:trPr>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4"/>
                <w:szCs w:val="24"/>
                <w:highlight w:val="none"/>
              </w:rPr>
            </w:pPr>
            <w:r>
              <w:rPr>
                <w:rFonts w:hint="eastAsia" w:ascii="仿宋_GB2312" w:hAnsi="宋体" w:eastAsia="仿宋_GB2312" w:cs="仿宋_GB2312"/>
                <w:color w:val="000000"/>
                <w:sz w:val="24"/>
                <w:szCs w:val="24"/>
                <w:highlight w:val="none"/>
              </w:rPr>
              <w:t>2</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AI成长森林评价一体机/台</w:t>
            </w:r>
          </w:p>
        </w:tc>
        <w:tc>
          <w:tcPr>
            <w:tcW w:w="31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CPU：≥八核</w:t>
            </w:r>
          </w:p>
          <w:p>
            <w:pPr>
              <w:widowControl/>
              <w:jc w:val="left"/>
              <w:textAlignment w:val="center"/>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内存：12GB LPDDR3（支持4G+8G扩展）</w:t>
            </w:r>
          </w:p>
          <w:p>
            <w:pPr>
              <w:widowControl/>
              <w:jc w:val="left"/>
              <w:textAlignment w:val="center"/>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存储：128GB eMMC</w:t>
            </w:r>
          </w:p>
          <w:p>
            <w:pPr>
              <w:widowControl/>
              <w:jc w:val="left"/>
              <w:textAlignment w:val="center"/>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屏幕：10.1英寸IPS，分辨率≥800×1280</w:t>
            </w:r>
          </w:p>
          <w:p>
            <w:pPr>
              <w:widowControl/>
              <w:jc w:val="left"/>
              <w:textAlignment w:val="center"/>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前置摄像头：8MP定焦</w:t>
            </w:r>
          </w:p>
          <w:p>
            <w:pPr>
              <w:widowControl/>
              <w:jc w:val="left"/>
              <w:textAlignment w:val="center"/>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后置摄像头：13MP自动对焦</w:t>
            </w:r>
          </w:p>
          <w:p>
            <w:pPr>
              <w:widowControl/>
              <w:jc w:val="left"/>
              <w:textAlignment w:val="center"/>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Wi-Fi：具备802.11 a/b/g/n/ac双频+Wi-Fi 6</w:t>
            </w:r>
          </w:p>
          <w:p>
            <w:pPr>
              <w:widowControl/>
              <w:jc w:val="left"/>
              <w:textAlignment w:val="center"/>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蓝牙：具备蓝牙5.4</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22</w:t>
            </w:r>
          </w:p>
        </w:tc>
      </w:tr>
      <w:tr>
        <w:tblPrEx>
          <w:tblCellMar>
            <w:top w:w="0" w:type="dxa"/>
            <w:left w:w="108" w:type="dxa"/>
            <w:bottom w:w="0" w:type="dxa"/>
            <w:right w:w="108" w:type="dxa"/>
          </w:tblCellMar>
        </w:tblPrEx>
        <w:trPr>
          <w:trHeight w:val="2305" w:hRule="atLeast"/>
        </w:trPr>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4"/>
                <w:szCs w:val="24"/>
                <w:highlight w:val="none"/>
              </w:rPr>
            </w:pPr>
            <w:r>
              <w:rPr>
                <w:rFonts w:hint="eastAsia" w:ascii="仿宋_GB2312" w:hAnsi="宋体" w:eastAsia="仿宋_GB2312" w:cs="仿宋_GB2312"/>
                <w:color w:val="000000"/>
                <w:sz w:val="24"/>
                <w:szCs w:val="24"/>
                <w:highlight w:val="none"/>
              </w:rPr>
              <w:t>3</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kern w:val="0"/>
                <w:sz w:val="24"/>
                <w:szCs w:val="24"/>
                <w:highlight w:val="none"/>
              </w:rPr>
            </w:pPr>
            <w:r>
              <w:rPr>
                <w:rFonts w:hint="eastAsia"/>
                <w:sz w:val="24"/>
                <w:szCs w:val="24"/>
                <w:highlight w:val="none"/>
              </w:rPr>
              <w:t>AI语音播报小屏打印机</w:t>
            </w:r>
          </w:p>
        </w:tc>
        <w:tc>
          <w:tcPr>
            <w:tcW w:w="31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主显示屏≥10.1" ；液晶显示屏≥800*1280</w:t>
            </w:r>
          </w:p>
          <w:p>
            <w:pPr>
              <w:widowControl/>
              <w:jc w:val="left"/>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主触摸屏：10点电容屏</w:t>
            </w:r>
          </w:p>
          <w:p>
            <w:pPr>
              <w:widowControl/>
              <w:jc w:val="left"/>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副显示屏：无</w:t>
            </w:r>
          </w:p>
          <w:p>
            <w:pPr>
              <w:widowControl/>
              <w:jc w:val="left"/>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内置打印机：58mm热敏打印机</w:t>
            </w:r>
          </w:p>
          <w:p>
            <w:pPr>
              <w:widowControl/>
              <w:jc w:val="left"/>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扫描器：一维/二维扫码器</w:t>
            </w:r>
          </w:p>
          <w:p>
            <w:pPr>
              <w:widowControl/>
              <w:jc w:val="left"/>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摄像头：≥200万宽动态摄像头</w:t>
            </w:r>
          </w:p>
          <w:p>
            <w:pPr>
              <w:widowControl/>
              <w:jc w:val="left"/>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WIFI：2.4GHz</w:t>
            </w:r>
          </w:p>
          <w:p>
            <w:pPr>
              <w:widowControl/>
              <w:jc w:val="left"/>
              <w:rPr>
                <w:rFonts w:hint="eastAsia" w:ascii="仿宋_GB2312" w:hAnsi="宋体" w:eastAsia="仿宋_GB2312" w:cs="仿宋_GB2312"/>
                <w:color w:val="000000"/>
                <w:kern w:val="0"/>
                <w:sz w:val="24"/>
                <w:szCs w:val="24"/>
                <w:highlight w:val="none"/>
                <w:lang w:bidi="ar"/>
              </w:rPr>
            </w:pP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1</w:t>
            </w:r>
          </w:p>
        </w:tc>
      </w:tr>
      <w:tr>
        <w:tblPrEx>
          <w:tblCellMar>
            <w:top w:w="0" w:type="dxa"/>
            <w:left w:w="108" w:type="dxa"/>
            <w:bottom w:w="0" w:type="dxa"/>
            <w:right w:w="108" w:type="dxa"/>
          </w:tblCellMar>
        </w:tblPrEx>
        <w:trPr>
          <w:trHeight w:val="2024" w:hRule="atLeast"/>
        </w:trPr>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sz w:val="24"/>
                <w:szCs w:val="24"/>
                <w:highlight w:val="none"/>
              </w:rPr>
            </w:pPr>
            <w:r>
              <w:rPr>
                <w:rFonts w:hint="eastAsia" w:ascii="仿宋_GB2312" w:hAnsi="宋体" w:eastAsia="仿宋_GB2312" w:cs="仿宋_GB2312"/>
                <w:color w:val="000000"/>
                <w:sz w:val="24"/>
                <w:szCs w:val="24"/>
                <w:highlight w:val="none"/>
              </w:rPr>
              <w:t>4</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kern w:val="0"/>
                <w:sz w:val="24"/>
                <w:szCs w:val="24"/>
                <w:highlight w:val="none"/>
              </w:rPr>
            </w:pPr>
            <w:r>
              <w:rPr>
                <w:rFonts w:hint="eastAsia"/>
                <w:sz w:val="24"/>
                <w:szCs w:val="24"/>
                <w:highlight w:val="none"/>
              </w:rPr>
              <w:t>AI安防一体机</w:t>
            </w:r>
          </w:p>
        </w:tc>
        <w:tc>
          <w:tcPr>
            <w:tcW w:w="31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主控CPU：≥8核</w:t>
            </w:r>
          </w:p>
          <w:p>
            <w:pPr>
              <w:widowControl/>
              <w:jc w:val="left"/>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内存：≥128G</w:t>
            </w:r>
          </w:p>
          <w:p>
            <w:pPr>
              <w:widowControl/>
              <w:jc w:val="left"/>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网络接口： 10/100/1000Mbps自适应 x2</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000000"/>
                <w:kern w:val="0"/>
                <w:sz w:val="24"/>
                <w:szCs w:val="24"/>
                <w:highlight w:val="none"/>
                <w:lang w:bidi="ar"/>
              </w:rPr>
            </w:pPr>
            <w:r>
              <w:rPr>
                <w:rFonts w:hint="eastAsia" w:ascii="仿宋_GB2312" w:hAnsi="宋体" w:eastAsia="仿宋_GB2312" w:cs="仿宋_GB2312"/>
                <w:color w:val="000000"/>
                <w:kern w:val="0"/>
                <w:sz w:val="24"/>
                <w:szCs w:val="24"/>
                <w:highlight w:val="none"/>
                <w:lang w:bidi="ar"/>
              </w:rPr>
              <w:t>1</w:t>
            </w:r>
          </w:p>
        </w:tc>
      </w:tr>
    </w:tbl>
    <w:p>
      <w:pPr>
        <w:numPr>
          <w:ilvl w:val="255"/>
          <w:numId w:val="0"/>
        </w:numPr>
        <w:ind w:left="420" w:leftChars="200"/>
        <w:rPr>
          <w:rFonts w:hint="eastAsia" w:ascii="仿宋" w:hAnsi="仿宋" w:eastAsia="仿宋" w:cs="仿宋"/>
          <w:sz w:val="24"/>
          <w:highlight w:val="none"/>
        </w:rPr>
      </w:pPr>
    </w:p>
    <w:sectPr>
      <w:headerReference r:id="rId11" w:type="default"/>
      <w:footerReference r:id="rId12" w:type="default"/>
      <w:pgSz w:w="11906" w:h="16838"/>
      <w:pgMar w:top="1418" w:right="1418" w:bottom="1418" w:left="1418" w:header="851" w:footer="964"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2</w:t>
    </w:r>
    <w: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2</w:t>
    </w:r>
    <w:r>
      <w:fldChar w:fldCharType="end"/>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3"/>
      <w:rPr>
        <w:rStyle w:val="24"/>
      </w:rPr>
    </w:pPr>
    <w:r>
      <w:fldChar w:fldCharType="begin"/>
    </w:r>
    <w:r>
      <w:rPr>
        <w:rStyle w:val="24"/>
      </w:rPr>
      <w:instrText xml:space="preserve">PAGE  </w:instrText>
    </w:r>
    <w:r>
      <w:fldChar w:fldCharType="end"/>
    </w:r>
  </w:p>
  <w:p>
    <w:pPr>
      <w:pStyle w:val="1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2</w:t>
    </w:r>
    <w:r>
      <w:fldChar w:fldCharType="end"/>
    </w: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75</w:t>
    </w:r>
    <w:r>
      <w:fldChar w:fldCharType="end"/>
    </w:r>
  </w:p>
  <w:p>
    <w:pPr>
      <w:pStyle w:val="30"/>
      <w:tabs>
        <w:tab w:val="left" w:pos="8400"/>
        <w:tab w:val="left" w:pos="8820"/>
      </w:tabs>
      <w:ind w:right="90"/>
      <w:jc w:val="right"/>
      <w:rPr>
        <w:rFonts w:eastAsia="Times New Roman"/>
        <w:color w:val="auto"/>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ordWrap w:val="0"/>
      <w:jc w:val="right"/>
      <w:rPr>
        <w:rFonts w:hint="eastAsia"/>
        <w:sz w:val="28"/>
        <w:szCs w:val="40"/>
      </w:rPr>
    </w:pPr>
    <w:r>
      <w:rPr>
        <w:rFonts w:hint="eastAsia"/>
        <w:sz w:val="28"/>
        <w:szCs w:val="40"/>
      </w:rPr>
      <w:t>项目编号：ZSSJ-CG-202511059</w:t>
    </w:r>
  </w:p>
  <w:p>
    <w:pPr>
      <w:pStyle w:val="16"/>
      <w:wordWrap w:val="0"/>
      <w:jc w:val="right"/>
      <w:rPr>
        <w:sz w:val="28"/>
        <w:szCs w:val="40"/>
      </w:rPr>
    </w:pPr>
    <w:r>
      <w:rPr>
        <w:rFonts w:hint="eastAsia"/>
        <w:sz w:val="28"/>
        <w:szCs w:val="4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sz w:val="28"/>
        <w:szCs w:val="40"/>
      </w:rPr>
    </w:pPr>
    <w:r>
      <w:rPr>
        <w:rFonts w:hint="eastAsia"/>
        <w:sz w:val="28"/>
        <w:szCs w:val="40"/>
      </w:rPr>
      <w:t>项目编号：ZSSJ-CG-202511059</w:t>
    </w:r>
  </w:p>
  <w:p>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rPr>
        <w:rFonts w:eastAsia="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B8E1"/>
    <w:multiLevelType w:val="singleLevel"/>
    <w:tmpl w:val="9176B8E1"/>
    <w:lvl w:ilvl="0" w:tentative="0">
      <w:start w:val="1"/>
      <w:numFmt w:val="decimal"/>
      <w:lvlText w:val="%1."/>
      <w:lvlJc w:val="left"/>
      <w:pPr>
        <w:ind w:left="425" w:hanging="425"/>
      </w:pPr>
      <w:rPr>
        <w:rFonts w:hint="default"/>
      </w:rPr>
    </w:lvl>
  </w:abstractNum>
  <w:abstractNum w:abstractNumId="1">
    <w:nsid w:val="9FE8B505"/>
    <w:multiLevelType w:val="singleLevel"/>
    <w:tmpl w:val="9FE8B505"/>
    <w:lvl w:ilvl="0" w:tentative="0">
      <w:start w:val="1"/>
      <w:numFmt w:val="chineseCounting"/>
      <w:suff w:val="nothing"/>
      <w:lvlText w:val="%1、"/>
      <w:lvlJc w:val="left"/>
      <w:rPr>
        <w:rFonts w:hint="eastAsia"/>
      </w:rPr>
    </w:lvl>
  </w:abstractNum>
  <w:abstractNum w:abstractNumId="2">
    <w:nsid w:val="AD1B8879"/>
    <w:multiLevelType w:val="singleLevel"/>
    <w:tmpl w:val="AD1B8879"/>
    <w:lvl w:ilvl="0" w:tentative="0">
      <w:start w:val="5"/>
      <w:numFmt w:val="chineseCounting"/>
      <w:suff w:val="space"/>
      <w:lvlText w:val="第%1章"/>
      <w:lvlJc w:val="left"/>
      <w:rPr>
        <w:rFonts w:hint="eastAsia"/>
      </w:rPr>
    </w:lvl>
  </w:abstractNum>
  <w:abstractNum w:abstractNumId="3">
    <w:nsid w:val="D5688568"/>
    <w:multiLevelType w:val="singleLevel"/>
    <w:tmpl w:val="D5688568"/>
    <w:lvl w:ilvl="0" w:tentative="0">
      <w:start w:val="1"/>
      <w:numFmt w:val="decimal"/>
      <w:suff w:val="space"/>
      <w:lvlText w:val="%1."/>
      <w:lvlJc w:val="left"/>
    </w:lvl>
  </w:abstractNum>
  <w:abstractNum w:abstractNumId="4">
    <w:nsid w:val="EB623AAB"/>
    <w:multiLevelType w:val="singleLevel"/>
    <w:tmpl w:val="EB623AAB"/>
    <w:lvl w:ilvl="0" w:tentative="0">
      <w:start w:val="1"/>
      <w:numFmt w:val="chineseCounting"/>
      <w:suff w:val="nothing"/>
      <w:lvlText w:val="（%1）"/>
      <w:lvlJc w:val="left"/>
      <w:pPr>
        <w:ind w:left="0" w:firstLine="420"/>
      </w:pPr>
      <w:rPr>
        <w:rFonts w:hint="eastAsia"/>
        <w:strike w:val="0"/>
        <w:dstrike w:val="0"/>
      </w:rPr>
    </w:lvl>
  </w:abstractNum>
  <w:abstractNum w:abstractNumId="5">
    <w:nsid w:val="F4582A6B"/>
    <w:multiLevelType w:val="multilevel"/>
    <w:tmpl w:val="F4582A6B"/>
    <w:lvl w:ilvl="0" w:tentative="0">
      <w:start w:val="1"/>
      <w:numFmt w:val="decimal"/>
      <w:lvlText w:val="%1."/>
      <w:lvlJc w:val="left"/>
      <w:pPr>
        <w:ind w:left="360" w:hanging="360"/>
      </w:pPr>
      <w:rPr>
        <w:rFonts w:hint="default"/>
      </w:rPr>
    </w:lvl>
    <w:lvl w:ilvl="1" w:tentative="0">
      <w:start w:val="1"/>
      <w:numFmt w:val="decimal"/>
      <w:isLgl/>
      <w:lvlText w:val="%1.%2"/>
      <w:lvlJc w:val="left"/>
      <w:pPr>
        <w:ind w:left="633" w:hanging="633"/>
      </w:pPr>
      <w:rPr>
        <w:rFonts w:hint="default"/>
      </w:rPr>
    </w:lvl>
    <w:lvl w:ilvl="2" w:tentative="0">
      <w:start w:val="1"/>
      <w:numFmt w:val="decimal"/>
      <w:isLgl/>
      <w:lvlText w:val="%1.%2.%3"/>
      <w:lvlJc w:val="left"/>
      <w:pPr>
        <w:ind w:left="0" w:firstLine="82"/>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6">
    <w:nsid w:val="00000004"/>
    <w:multiLevelType w:val="multilevel"/>
    <w:tmpl w:val="00000004"/>
    <w:lvl w:ilvl="0" w:tentative="0">
      <w:start w:val="4"/>
      <w:numFmt w:val="decimal"/>
      <w:lvlText w:val="%1"/>
      <w:lvlJc w:val="left"/>
      <w:pPr>
        <w:tabs>
          <w:tab w:val="left" w:pos="425"/>
        </w:tabs>
        <w:ind w:left="425" w:hanging="425"/>
      </w:pPr>
      <w:rPr>
        <w:rFonts w:hint="eastAsia"/>
        <w:sz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00000005"/>
    <w:multiLevelType w:val="multilevel"/>
    <w:tmpl w:val="00000005"/>
    <w:lvl w:ilvl="0" w:tentative="0">
      <w:start w:val="1"/>
      <w:numFmt w:val="decimal"/>
      <w:lvlText w:val="(%1)"/>
      <w:lvlJc w:val="left"/>
      <w:pPr>
        <w:ind w:left="1365" w:hanging="405"/>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8">
    <w:nsid w:val="00000006"/>
    <w:multiLevelType w:val="multilevel"/>
    <w:tmpl w:val="00000006"/>
    <w:lvl w:ilvl="0" w:tentative="0">
      <w:start w:val="1"/>
      <w:numFmt w:val="decimal"/>
      <w:lvlText w:val="(%1)"/>
      <w:lvlJc w:val="left"/>
      <w:pPr>
        <w:ind w:left="1365" w:hanging="405"/>
      </w:pPr>
      <w:rPr>
        <w:rFonts w:ascii="仿宋_GB2312" w:hAnsi="宋体" w:eastAsia="仿宋_GB2312" w:cs="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9">
    <w:nsid w:val="00000009"/>
    <w:multiLevelType w:val="multilevel"/>
    <w:tmpl w:val="00000009"/>
    <w:lvl w:ilvl="0" w:tentative="0">
      <w:start w:val="1"/>
      <w:numFmt w:val="decimal"/>
      <w:lvlText w:val="(%1)"/>
      <w:lvlJc w:val="left"/>
      <w:pPr>
        <w:ind w:left="1365" w:hanging="405"/>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0">
    <w:nsid w:val="0000000B"/>
    <w:multiLevelType w:val="multilevel"/>
    <w:tmpl w:val="0000000B"/>
    <w:lvl w:ilvl="0" w:tentative="0">
      <w:start w:val="1"/>
      <w:numFmt w:val="decimal"/>
      <w:lvlText w:val="%1."/>
      <w:lvlJc w:val="left"/>
      <w:pPr>
        <w:ind w:left="704" w:hanging="420"/>
      </w:pPr>
      <w:rPr>
        <w:rFonts w:hint="eastAsia"/>
      </w:rPr>
    </w:lvl>
    <w:lvl w:ilvl="1" w:tentative="0">
      <w:start w:val="1"/>
      <w:numFmt w:val="decimal"/>
      <w:isLgl/>
      <w:lvlText w:val="%1.%2"/>
      <w:lvlJc w:val="left"/>
      <w:pPr>
        <w:ind w:left="1145" w:hanging="720"/>
      </w:pPr>
      <w:rPr>
        <w:rFonts w:hint="default"/>
      </w:rPr>
    </w:lvl>
    <w:lvl w:ilvl="2" w:tentative="0">
      <w:start w:val="1"/>
      <w:numFmt w:val="decimal"/>
      <w:isLgl/>
      <w:lvlText w:val="%1.%2.%3"/>
      <w:lvlJc w:val="left"/>
      <w:pPr>
        <w:ind w:left="1286" w:hanging="720"/>
      </w:pPr>
      <w:rPr>
        <w:rFonts w:hint="default"/>
      </w:rPr>
    </w:lvl>
    <w:lvl w:ilvl="3" w:tentative="0">
      <w:start w:val="1"/>
      <w:numFmt w:val="decimal"/>
      <w:isLgl/>
      <w:lvlText w:val="%1.%2.%3.%4"/>
      <w:lvlJc w:val="left"/>
      <w:pPr>
        <w:ind w:left="1787" w:hanging="1080"/>
      </w:pPr>
      <w:rPr>
        <w:rFonts w:hint="default"/>
      </w:rPr>
    </w:lvl>
    <w:lvl w:ilvl="4" w:tentative="0">
      <w:start w:val="1"/>
      <w:numFmt w:val="decimal"/>
      <w:isLgl/>
      <w:lvlText w:val="%1.%2.%3.%4.%5"/>
      <w:lvlJc w:val="left"/>
      <w:pPr>
        <w:ind w:left="2288" w:hanging="1440"/>
      </w:pPr>
      <w:rPr>
        <w:rFonts w:hint="default"/>
      </w:rPr>
    </w:lvl>
    <w:lvl w:ilvl="5" w:tentative="0">
      <w:start w:val="1"/>
      <w:numFmt w:val="decimal"/>
      <w:isLgl/>
      <w:lvlText w:val="%1.%2.%3.%4.%5.%6"/>
      <w:lvlJc w:val="left"/>
      <w:pPr>
        <w:ind w:left="2429" w:hanging="1440"/>
      </w:pPr>
      <w:rPr>
        <w:rFonts w:hint="default"/>
      </w:rPr>
    </w:lvl>
    <w:lvl w:ilvl="6" w:tentative="0">
      <w:start w:val="1"/>
      <w:numFmt w:val="decimal"/>
      <w:isLgl/>
      <w:lvlText w:val="%1.%2.%3.%4.%5.%6.%7"/>
      <w:lvlJc w:val="left"/>
      <w:pPr>
        <w:ind w:left="2930" w:hanging="1800"/>
      </w:pPr>
      <w:rPr>
        <w:rFonts w:hint="default"/>
      </w:rPr>
    </w:lvl>
    <w:lvl w:ilvl="7" w:tentative="0">
      <w:start w:val="1"/>
      <w:numFmt w:val="decimal"/>
      <w:isLgl/>
      <w:lvlText w:val="%1.%2.%3.%4.%5.%6.%7.%8"/>
      <w:lvlJc w:val="left"/>
      <w:pPr>
        <w:ind w:left="3431" w:hanging="2160"/>
      </w:pPr>
      <w:rPr>
        <w:rFonts w:hint="default"/>
      </w:rPr>
    </w:lvl>
    <w:lvl w:ilvl="8" w:tentative="0">
      <w:start w:val="1"/>
      <w:numFmt w:val="decimal"/>
      <w:isLgl/>
      <w:lvlText w:val="%1.%2.%3.%4.%5.%6.%7.%8.%9"/>
      <w:lvlJc w:val="left"/>
      <w:pPr>
        <w:ind w:left="3572" w:hanging="2160"/>
      </w:pPr>
      <w:rPr>
        <w:rFonts w:hint="default"/>
      </w:rPr>
    </w:lvl>
  </w:abstractNum>
  <w:abstractNum w:abstractNumId="11">
    <w:nsid w:val="00000012"/>
    <w:multiLevelType w:val="multilevel"/>
    <w:tmpl w:val="00000012"/>
    <w:lvl w:ilvl="0" w:tentative="0">
      <w:start w:val="1"/>
      <w:numFmt w:val="decimal"/>
      <w:lvlText w:val="%1."/>
      <w:lvlJc w:val="left"/>
      <w:pPr>
        <w:tabs>
          <w:tab w:val="left" w:pos="567"/>
        </w:tabs>
        <w:ind w:left="635" w:hanging="425"/>
      </w:pPr>
      <w:rPr>
        <w:rFonts w:hint="eastAsia"/>
        <w:i w:val="0"/>
      </w:rPr>
    </w:lvl>
    <w:lvl w:ilvl="1" w:tentative="0">
      <w:start w:val="1"/>
      <w:numFmt w:val="decimal"/>
      <w:lvlText w:val="%1.%2."/>
      <w:lvlJc w:val="left"/>
      <w:pPr>
        <w:tabs>
          <w:tab w:val="left" w:pos="1135"/>
        </w:tabs>
        <w:ind w:left="1135"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0000014"/>
    <w:multiLevelType w:val="multilevel"/>
    <w:tmpl w:val="0000001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0000015"/>
    <w:multiLevelType w:val="multilevel"/>
    <w:tmpl w:val="00000015"/>
    <w:lvl w:ilvl="0" w:tentative="0">
      <w:start w:val="1"/>
      <w:numFmt w:val="decimal"/>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00000018"/>
    <w:multiLevelType w:val="multilevel"/>
    <w:tmpl w:val="00000018"/>
    <w:lvl w:ilvl="0" w:tentative="0">
      <w:start w:val="5"/>
      <w:numFmt w:val="decimal"/>
      <w:lvlText w:val="%1"/>
      <w:lvlJc w:val="left"/>
      <w:pPr>
        <w:tabs>
          <w:tab w:val="left" w:pos="425"/>
        </w:tabs>
        <w:ind w:left="425" w:hanging="425"/>
      </w:pPr>
      <w:rPr>
        <w:rFonts w:hint="eastAsia"/>
        <w:sz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19"/>
    <w:multiLevelType w:val="multilevel"/>
    <w:tmpl w:val="00000019"/>
    <w:lvl w:ilvl="0" w:tentative="0">
      <w:start w:val="1"/>
      <w:numFmt w:val="decimal"/>
      <w:lvlText w:val="(%1)"/>
      <w:lvlJc w:val="left"/>
      <w:pPr>
        <w:ind w:left="1365" w:hanging="405"/>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6">
    <w:nsid w:val="0000001D"/>
    <w:multiLevelType w:val="multilevel"/>
    <w:tmpl w:val="0000001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00000021"/>
    <w:multiLevelType w:val="multilevel"/>
    <w:tmpl w:val="0000002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00000028"/>
    <w:multiLevelType w:val="multilevel"/>
    <w:tmpl w:val="00000028"/>
    <w:lvl w:ilvl="0" w:tentative="0">
      <w:start w:val="4"/>
      <w:numFmt w:val="decimal"/>
      <w:lvlText w:val="%1"/>
      <w:lvlJc w:val="left"/>
      <w:pPr>
        <w:tabs>
          <w:tab w:val="left" w:pos="425"/>
        </w:tabs>
        <w:ind w:left="425" w:hanging="425"/>
      </w:pPr>
      <w:rPr>
        <w:rFonts w:hint="default" w:ascii="Arial" w:hAnsi="Arial"/>
        <w:sz w:val="24"/>
        <w:szCs w:val="24"/>
      </w:rPr>
    </w:lvl>
    <w:lvl w:ilvl="1" w:tentative="0">
      <w:start w:val="1"/>
      <w:numFmt w:val="decimal"/>
      <w:lvlText w:val="%1.%2"/>
      <w:lvlJc w:val="left"/>
      <w:pPr>
        <w:tabs>
          <w:tab w:val="left" w:pos="567"/>
        </w:tabs>
        <w:ind w:left="851" w:hanging="567"/>
      </w:pPr>
      <w:rPr>
        <w:rFonts w:hint="eastAsia"/>
      </w:rPr>
    </w:lvl>
    <w:lvl w:ilvl="2" w:tentative="0">
      <w:start w:val="1"/>
      <w:numFmt w:val="decimal"/>
      <w:lvlText w:val="%1.%2.%3"/>
      <w:lvlJc w:val="left"/>
      <w:pPr>
        <w:tabs>
          <w:tab w:val="left" w:pos="1418"/>
        </w:tabs>
        <w:ind w:left="1418" w:hanging="851"/>
      </w:pPr>
      <w:rPr>
        <w:rFonts w:hint="eastAsia"/>
        <w:color w:val="auto"/>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1D562EB0"/>
    <w:multiLevelType w:val="multilevel"/>
    <w:tmpl w:val="1D562EB0"/>
    <w:lvl w:ilvl="0" w:tentative="0">
      <w:start w:val="1"/>
      <w:numFmt w:val="japaneseCounting"/>
      <w:lvlText w:val="第%1章"/>
      <w:lvlJc w:val="left"/>
      <w:pPr>
        <w:ind w:left="1452" w:hanging="145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EFEBE2A"/>
    <w:multiLevelType w:val="singleLevel"/>
    <w:tmpl w:val="5EFEBE2A"/>
    <w:lvl w:ilvl="0" w:tentative="0">
      <w:start w:val="2"/>
      <w:numFmt w:val="decimal"/>
      <w:suff w:val="nothing"/>
      <w:lvlText w:val="%1、"/>
      <w:lvlJc w:val="left"/>
    </w:lvl>
  </w:abstractNum>
  <w:num w:numId="1">
    <w:abstractNumId w:val="11"/>
  </w:num>
  <w:num w:numId="2">
    <w:abstractNumId w:val="19"/>
  </w:num>
  <w:num w:numId="3">
    <w:abstractNumId w:val="3"/>
  </w:num>
  <w:num w:numId="4">
    <w:abstractNumId w:val="10"/>
  </w:num>
  <w:num w:numId="5">
    <w:abstractNumId w:val="18"/>
  </w:num>
  <w:num w:numId="6">
    <w:abstractNumId w:val="8"/>
  </w:num>
  <w:num w:numId="7">
    <w:abstractNumId w:val="13"/>
  </w:num>
  <w:num w:numId="8">
    <w:abstractNumId w:val="5"/>
  </w:num>
  <w:num w:numId="9">
    <w:abstractNumId w:val="9"/>
  </w:num>
  <w:num w:numId="10">
    <w:abstractNumId w:val="14"/>
  </w:num>
  <w:num w:numId="11">
    <w:abstractNumId w:val="6"/>
  </w:num>
  <w:num w:numId="12">
    <w:abstractNumId w:val="7"/>
  </w:num>
  <w:num w:numId="13">
    <w:abstractNumId w:val="15"/>
  </w:num>
  <w:num w:numId="14">
    <w:abstractNumId w:val="17"/>
  </w:num>
  <w:num w:numId="15">
    <w:abstractNumId w:val="16"/>
  </w:num>
  <w:num w:numId="16">
    <w:abstractNumId w:val="12"/>
  </w:num>
  <w:num w:numId="17">
    <w:abstractNumId w:val="2"/>
  </w:num>
  <w:num w:numId="18">
    <w:abstractNumId w:val="1"/>
  </w:num>
  <w:num w:numId="19">
    <w:abstractNumId w:val="20"/>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zYmY1ZWI2YTk4OWZhYzIxMmMzYzRmNDllZDc3NmYifQ=="/>
  </w:docVars>
  <w:rsids>
    <w:rsidRoot w:val="4FD15EF4"/>
    <w:rsid w:val="00031C68"/>
    <w:rsid w:val="0005608B"/>
    <w:rsid w:val="00071A85"/>
    <w:rsid w:val="000776C5"/>
    <w:rsid w:val="0032329D"/>
    <w:rsid w:val="003B6B04"/>
    <w:rsid w:val="003E335B"/>
    <w:rsid w:val="005856D3"/>
    <w:rsid w:val="005F2BF4"/>
    <w:rsid w:val="0068481B"/>
    <w:rsid w:val="006A42B2"/>
    <w:rsid w:val="006E5626"/>
    <w:rsid w:val="007B496E"/>
    <w:rsid w:val="007D21F8"/>
    <w:rsid w:val="008A513E"/>
    <w:rsid w:val="00971225"/>
    <w:rsid w:val="00A97F1B"/>
    <w:rsid w:val="00B45542"/>
    <w:rsid w:val="00E508BD"/>
    <w:rsid w:val="00F129B5"/>
    <w:rsid w:val="00FB6F9A"/>
    <w:rsid w:val="013D7AA6"/>
    <w:rsid w:val="01FD30DB"/>
    <w:rsid w:val="020D6A8E"/>
    <w:rsid w:val="047F2D99"/>
    <w:rsid w:val="04A95226"/>
    <w:rsid w:val="053A0EAF"/>
    <w:rsid w:val="067142D4"/>
    <w:rsid w:val="07135006"/>
    <w:rsid w:val="08A32A73"/>
    <w:rsid w:val="094F2CD3"/>
    <w:rsid w:val="0BDB2D47"/>
    <w:rsid w:val="0ED05591"/>
    <w:rsid w:val="0EF6046B"/>
    <w:rsid w:val="1163361A"/>
    <w:rsid w:val="13671B64"/>
    <w:rsid w:val="13FA166E"/>
    <w:rsid w:val="144170C5"/>
    <w:rsid w:val="145108B5"/>
    <w:rsid w:val="174829BA"/>
    <w:rsid w:val="17C13145"/>
    <w:rsid w:val="1AC85260"/>
    <w:rsid w:val="1B696ACA"/>
    <w:rsid w:val="1E476C70"/>
    <w:rsid w:val="1FF816BD"/>
    <w:rsid w:val="20563335"/>
    <w:rsid w:val="20CF0AB9"/>
    <w:rsid w:val="22AE5CD8"/>
    <w:rsid w:val="230E417C"/>
    <w:rsid w:val="24165CAC"/>
    <w:rsid w:val="245D4D6E"/>
    <w:rsid w:val="24B26651"/>
    <w:rsid w:val="25853BC4"/>
    <w:rsid w:val="277B4318"/>
    <w:rsid w:val="27986B84"/>
    <w:rsid w:val="29CD1829"/>
    <w:rsid w:val="2A152425"/>
    <w:rsid w:val="2A31295D"/>
    <w:rsid w:val="2EB92876"/>
    <w:rsid w:val="2F9A27E4"/>
    <w:rsid w:val="30A71E6B"/>
    <w:rsid w:val="34114B8C"/>
    <w:rsid w:val="34DD1EEC"/>
    <w:rsid w:val="35553C0F"/>
    <w:rsid w:val="368E2FA1"/>
    <w:rsid w:val="3775168B"/>
    <w:rsid w:val="37ED6FC5"/>
    <w:rsid w:val="381C7081"/>
    <w:rsid w:val="38C365B5"/>
    <w:rsid w:val="38D21D36"/>
    <w:rsid w:val="3A3C3146"/>
    <w:rsid w:val="3A8B1791"/>
    <w:rsid w:val="3B17172C"/>
    <w:rsid w:val="3C6374CA"/>
    <w:rsid w:val="3CA15164"/>
    <w:rsid w:val="3CCE55DF"/>
    <w:rsid w:val="3D431C65"/>
    <w:rsid w:val="410E6295"/>
    <w:rsid w:val="412742D5"/>
    <w:rsid w:val="42A31B4C"/>
    <w:rsid w:val="43E05306"/>
    <w:rsid w:val="45330076"/>
    <w:rsid w:val="454A17E6"/>
    <w:rsid w:val="45CC0C03"/>
    <w:rsid w:val="46AD482D"/>
    <w:rsid w:val="47DD45B4"/>
    <w:rsid w:val="483F562A"/>
    <w:rsid w:val="4874332A"/>
    <w:rsid w:val="4ACA2213"/>
    <w:rsid w:val="4B660E4A"/>
    <w:rsid w:val="4C0D36A4"/>
    <w:rsid w:val="4C141798"/>
    <w:rsid w:val="4D480CC6"/>
    <w:rsid w:val="4FD15EF4"/>
    <w:rsid w:val="51464EE3"/>
    <w:rsid w:val="521310F3"/>
    <w:rsid w:val="52DF4409"/>
    <w:rsid w:val="52EB665E"/>
    <w:rsid w:val="539F282D"/>
    <w:rsid w:val="54134450"/>
    <w:rsid w:val="55023905"/>
    <w:rsid w:val="55A40CCA"/>
    <w:rsid w:val="5662390B"/>
    <w:rsid w:val="587C29ED"/>
    <w:rsid w:val="58A874FC"/>
    <w:rsid w:val="5B595793"/>
    <w:rsid w:val="5D1E705A"/>
    <w:rsid w:val="5E6847CD"/>
    <w:rsid w:val="5FF42674"/>
    <w:rsid w:val="5FFE314C"/>
    <w:rsid w:val="6045400C"/>
    <w:rsid w:val="604D0B71"/>
    <w:rsid w:val="607B00D4"/>
    <w:rsid w:val="60DF60FA"/>
    <w:rsid w:val="63EB0A27"/>
    <w:rsid w:val="64400212"/>
    <w:rsid w:val="655B6D66"/>
    <w:rsid w:val="6AEE2AF7"/>
    <w:rsid w:val="6D0F47BB"/>
    <w:rsid w:val="6DE600BC"/>
    <w:rsid w:val="6EA050D0"/>
    <w:rsid w:val="7071777A"/>
    <w:rsid w:val="711759BD"/>
    <w:rsid w:val="76835DF0"/>
    <w:rsid w:val="788D068F"/>
    <w:rsid w:val="7A50583C"/>
    <w:rsid w:val="7A851910"/>
    <w:rsid w:val="7A8625CF"/>
    <w:rsid w:val="7A95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4">
    <w:name w:val="heading 1"/>
    <w:basedOn w:val="1"/>
    <w:next w:val="1"/>
    <w:qFormat/>
    <w:uiPriority w:val="9"/>
    <w:pPr>
      <w:keepNext/>
      <w:keepLines/>
      <w:spacing w:before="120" w:after="120" w:line="360" w:lineRule="auto"/>
      <w:jc w:val="center"/>
      <w:outlineLvl w:val="0"/>
    </w:pPr>
    <w:rPr>
      <w:rFonts w:ascii="仿宋" w:hAnsi="仿宋" w:eastAsia="仿宋"/>
      <w:b/>
      <w:bCs/>
      <w:kern w:val="44"/>
      <w:sz w:val="36"/>
      <w:szCs w:val="36"/>
    </w:rPr>
  </w:style>
  <w:style w:type="paragraph" w:styleId="5">
    <w:name w:val="heading 2"/>
    <w:basedOn w:val="1"/>
    <w:next w:val="1"/>
    <w:qFormat/>
    <w:uiPriority w:val="99"/>
    <w:pPr>
      <w:keepNext/>
      <w:keepLines/>
      <w:spacing w:line="360" w:lineRule="auto"/>
      <w:outlineLvl w:val="1"/>
    </w:pPr>
    <w:rPr>
      <w:rFonts w:ascii="仿宋" w:hAnsi="仿宋" w:eastAsia="仿宋"/>
      <w:b/>
      <w:bCs/>
      <w:kern w:val="0"/>
      <w:sz w:val="28"/>
      <w:szCs w:val="28"/>
    </w:rPr>
  </w:style>
  <w:style w:type="paragraph" w:styleId="6">
    <w:name w:val="heading 3"/>
    <w:basedOn w:val="1"/>
    <w:next w:val="1"/>
    <w:qFormat/>
    <w:uiPriority w:val="99"/>
    <w:pPr>
      <w:keepNext/>
      <w:keepLines/>
      <w:spacing w:line="360" w:lineRule="auto"/>
      <w:outlineLvl w:val="2"/>
    </w:pPr>
    <w:rPr>
      <w:rFonts w:ascii="仿宋" w:hAnsi="仿宋" w:eastAsia="仿宋"/>
      <w:b/>
      <w:kern w:val="0"/>
      <w:sz w:val="28"/>
      <w:szCs w:val="28"/>
    </w:rPr>
  </w:style>
  <w:style w:type="paragraph" w:styleId="7">
    <w:name w:val="heading 4"/>
    <w:basedOn w:val="1"/>
    <w:next w:val="1"/>
    <w:qFormat/>
    <w:uiPriority w:val="0"/>
    <w:pPr>
      <w:keepNext/>
      <w:keepLines/>
      <w:numPr>
        <w:ilvl w:val="3"/>
        <w:numId w:val="1"/>
      </w:numPr>
      <w:tabs>
        <w:tab w:val="left" w:pos="567"/>
      </w:tabs>
      <w:spacing w:before="120" w:after="120" w:line="360" w:lineRule="auto"/>
      <w:outlineLvl w:val="3"/>
    </w:pPr>
    <w:rPr>
      <w:rFonts w:ascii="Arial" w:hAnsi="Arial" w:eastAsia="黑体"/>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rFonts w:hAnsi="Calibri"/>
      <w:szCs w:val="20"/>
    </w:rPr>
  </w:style>
  <w:style w:type="paragraph" w:styleId="3">
    <w:name w:val="Body Text"/>
    <w:basedOn w:val="1"/>
    <w:next w:val="1"/>
    <w:qFormat/>
    <w:uiPriority w:val="99"/>
    <w:pPr>
      <w:spacing w:after="120"/>
    </w:pPr>
    <w:rPr>
      <w:rFonts w:ascii="Times New Roman" w:hAnsi="Times New Roman" w:cs="Times New Roman"/>
      <w:szCs w:val="24"/>
    </w:rPr>
  </w:style>
  <w:style w:type="paragraph" w:styleId="8">
    <w:name w:val="Normal Indent"/>
    <w:basedOn w:val="1"/>
    <w:next w:val="1"/>
    <w:qFormat/>
    <w:uiPriority w:val="0"/>
    <w:pPr>
      <w:adjustRightInd w:val="0"/>
      <w:spacing w:line="312" w:lineRule="atLeast"/>
      <w:ind w:firstLine="420"/>
      <w:textAlignment w:val="baseline"/>
    </w:pPr>
    <w:rPr>
      <w:kern w:val="0"/>
      <w:szCs w:val="20"/>
    </w:rPr>
  </w:style>
  <w:style w:type="paragraph" w:styleId="9">
    <w:name w:val="annotation text"/>
    <w:basedOn w:val="1"/>
    <w:unhideWhenUsed/>
    <w:qFormat/>
    <w:uiPriority w:val="0"/>
    <w:pPr>
      <w:jc w:val="left"/>
    </w:pPr>
  </w:style>
  <w:style w:type="paragraph" w:styleId="10">
    <w:name w:val="Body Text 3"/>
    <w:basedOn w:val="1"/>
    <w:qFormat/>
    <w:uiPriority w:val="0"/>
    <w:pPr>
      <w:spacing w:after="120"/>
    </w:pPr>
    <w:rPr>
      <w:sz w:val="16"/>
      <w:szCs w:val="16"/>
      <w:lang w:val="zh-CN"/>
    </w:rPr>
  </w:style>
  <w:style w:type="paragraph" w:styleId="11">
    <w:name w:val="Body Text Indent"/>
    <w:basedOn w:val="1"/>
    <w:next w:val="1"/>
    <w:semiHidden/>
    <w:unhideWhenUsed/>
    <w:qFormat/>
    <w:uiPriority w:val="99"/>
    <w:pPr>
      <w:ind w:right="250" w:rightChars="78" w:firstLine="640" w:firstLineChars="200"/>
    </w:pPr>
    <w:rPr>
      <w:rFonts w:ascii="Times New Roman" w:hAnsi="Times New Roman" w:eastAsia="仿宋_GB2312" w:cs="Times New Roman"/>
      <w:kern w:val="0"/>
      <w:sz w:val="32"/>
      <w:szCs w:val="24"/>
    </w:rPr>
  </w:style>
  <w:style w:type="paragraph" w:styleId="12">
    <w:name w:val="List Continue"/>
    <w:basedOn w:val="1"/>
    <w:qFormat/>
    <w:uiPriority w:val="0"/>
    <w:pPr>
      <w:spacing w:after="120"/>
      <w:ind w:left="420" w:leftChars="200"/>
    </w:pPr>
    <w:rPr>
      <w:rFonts w:ascii="Times New Roman" w:hAnsi="Times New Roman"/>
      <w:szCs w:val="20"/>
    </w:rPr>
  </w:style>
  <w:style w:type="paragraph" w:styleId="13">
    <w:name w:val="toc 3"/>
    <w:basedOn w:val="1"/>
    <w:next w:val="1"/>
    <w:qFormat/>
    <w:uiPriority w:val="39"/>
    <w:pPr>
      <w:ind w:left="840" w:leftChars="400"/>
    </w:pPr>
  </w:style>
  <w:style w:type="paragraph" w:styleId="14">
    <w:name w:val="Plain Text"/>
    <w:basedOn w:val="1"/>
    <w:qFormat/>
    <w:uiPriority w:val="0"/>
    <w:rPr>
      <w:rFonts w:hAnsi="Courier New" w:cs="Times New Roman"/>
      <w:szCs w:val="20"/>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adjustRightInd w:val="0"/>
      <w:spacing w:before="120" w:after="120" w:line="360" w:lineRule="atLeast"/>
      <w:jc w:val="left"/>
      <w:textAlignment w:val="baseline"/>
    </w:pPr>
    <w:rPr>
      <w:b/>
      <w:bCs/>
      <w:caps/>
      <w:kern w:val="0"/>
      <w:sz w:val="20"/>
      <w:szCs w:val="20"/>
    </w:rPr>
  </w:style>
  <w:style w:type="paragraph" w:styleId="18">
    <w:name w:val="toc 2"/>
    <w:basedOn w:val="1"/>
    <w:next w:val="1"/>
    <w:qFormat/>
    <w:uiPriority w:val="39"/>
    <w:pPr>
      <w:adjustRightInd w:val="0"/>
      <w:spacing w:line="360" w:lineRule="atLeast"/>
      <w:ind w:left="240"/>
      <w:jc w:val="left"/>
      <w:textAlignment w:val="baseline"/>
    </w:pPr>
    <w:rPr>
      <w:smallCaps/>
      <w:kern w:val="0"/>
      <w:sz w:val="20"/>
      <w:szCs w:val="20"/>
    </w:rPr>
  </w:style>
  <w:style w:type="paragraph" w:styleId="19">
    <w:name w:val="Normal (Web)"/>
    <w:basedOn w:val="1"/>
    <w:unhideWhenUsed/>
    <w:qFormat/>
    <w:uiPriority w:val="0"/>
    <w:rPr>
      <w:sz w:val="24"/>
      <w:szCs w:val="24"/>
    </w:rPr>
  </w:style>
  <w:style w:type="paragraph" w:styleId="20">
    <w:name w:val="Body Text First Indent 2"/>
    <w:basedOn w:val="11"/>
    <w:next w:val="1"/>
    <w:unhideWhenUsed/>
    <w:qFormat/>
    <w:uiPriority w:val="99"/>
    <w:pPr>
      <w:tabs>
        <w:tab w:val="left" w:pos="540"/>
        <w:tab w:val="left" w:pos="720"/>
      </w:tabs>
      <w:ind w:firstLine="420"/>
    </w:pPr>
    <w:rPr>
      <w:rFonts w:ascii="Calibri" w:hAnsi="Calibri"/>
      <w:sz w:val="21"/>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样式"/>
    <w:qFormat/>
    <w:uiPriority w:val="0"/>
    <w:pPr>
      <w:widowControl w:val="0"/>
      <w:autoSpaceDE w:val="0"/>
      <w:autoSpaceDN w:val="0"/>
      <w:adjustRightInd w:val="0"/>
    </w:pPr>
    <w:rPr>
      <w:rFonts w:ascii="宋体" w:hAnsi="宋体" w:eastAsia="Times New Roman" w:cs="Calibri"/>
      <w:kern w:val="2"/>
      <w:sz w:val="24"/>
      <w:szCs w:val="24"/>
      <w:lang w:val="en-US" w:eastAsia="zh-CN" w:bidi="ar-SA"/>
    </w:rPr>
  </w:style>
  <w:style w:type="character" w:customStyle="1" w:styleId="28">
    <w:name w:val="标题 2 Char Char Char Char Char Char Char"/>
    <w:qFormat/>
    <w:uiPriority w:val="0"/>
    <w:rPr>
      <w:rFonts w:ascii="Arial" w:hAnsi="Arial" w:eastAsia="黑体"/>
      <w:b/>
      <w:bCs/>
      <w:kern w:val="2"/>
      <w:sz w:val="32"/>
      <w:szCs w:val="32"/>
      <w:lang w:val="en-US" w:eastAsia="zh-CN"/>
    </w:rPr>
  </w:style>
  <w:style w:type="paragraph" w:customStyle="1" w:styleId="29">
    <w:name w:val="自由格式"/>
    <w:qFormat/>
    <w:uiPriority w:val="0"/>
    <w:rPr>
      <w:rFonts w:ascii="Calibri" w:hAnsi="Calibri" w:eastAsia="ヒラギノ角ゴ Pro W3" w:cs="Calibri"/>
      <w:color w:val="000000"/>
      <w:lang w:val="en-US" w:eastAsia="zh-CN" w:bidi="ar-SA"/>
    </w:rPr>
  </w:style>
  <w:style w:type="paragraph" w:customStyle="1" w:styleId="30">
    <w:name w:val="页脚1"/>
    <w:qFormat/>
    <w:uiPriority w:val="0"/>
    <w:pPr>
      <w:widowControl w:val="0"/>
      <w:tabs>
        <w:tab w:val="center" w:pos="4153"/>
        <w:tab w:val="right" w:pos="8306"/>
      </w:tabs>
    </w:pPr>
    <w:rPr>
      <w:rFonts w:ascii="Calibri" w:hAnsi="Calibri" w:eastAsia="ヒラギノ角ゴ Pro W3" w:cs="Calibri"/>
      <w:color w:val="000000"/>
      <w:kern w:val="2"/>
      <w:sz w:val="18"/>
      <w:lang w:val="en-US" w:eastAsia="zh-CN" w:bidi="ar-SA"/>
    </w:rPr>
  </w:style>
  <w:style w:type="paragraph" w:customStyle="1" w:styleId="31">
    <w:name w:val="模板-ZW"/>
    <w:basedOn w:val="32"/>
    <w:next w:val="1"/>
    <w:qFormat/>
    <w:uiPriority w:val="0"/>
    <w:pPr>
      <w:spacing w:beforeLines="50" w:afterLines="50" w:line="500" w:lineRule="exact"/>
      <w:ind w:firstLine="200" w:firstLineChars="200"/>
    </w:pPr>
    <w:rPr>
      <w:rFonts w:ascii="宋体" w:hAnsi="宋体"/>
      <w:spacing w:val="12"/>
      <w:sz w:val="24"/>
    </w:rPr>
  </w:style>
  <w:style w:type="paragraph" w:customStyle="1" w:styleId="32">
    <w:name w:val="正文1"/>
    <w:next w:val="31"/>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33">
    <w:name w:val="浅色列表 - 强调文字颜色 51"/>
    <w:basedOn w:val="1"/>
    <w:qFormat/>
    <w:uiPriority w:val="99"/>
    <w:pPr>
      <w:ind w:firstLine="420" w:firstLineChars="200"/>
    </w:p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列出段落1"/>
    <w:basedOn w:val="1"/>
    <w:qFormat/>
    <w:uiPriority w:val="34"/>
    <w:pPr>
      <w:ind w:firstLine="420" w:firstLineChars="200"/>
    </w:pPr>
  </w:style>
  <w:style w:type="paragraph" w:customStyle="1" w:styleId="37">
    <w:name w:val="TOC 标题1"/>
    <w:basedOn w:val="4"/>
    <w:next w:val="1"/>
    <w:qFormat/>
    <w:uiPriority w:val="39"/>
    <w:pPr>
      <w:widowControl/>
      <w:spacing w:before="480" w:after="0" w:line="276" w:lineRule="auto"/>
      <w:jc w:val="left"/>
      <w:outlineLvl w:val="9"/>
    </w:pPr>
    <w:rPr>
      <w:rFonts w:ascii="Cambria" w:hAnsi="Cambria" w:eastAsia="宋体"/>
      <w:color w:val="365F91"/>
      <w:sz w:val="28"/>
      <w:szCs w:val="28"/>
    </w:rPr>
  </w:style>
  <w:style w:type="paragraph" w:customStyle="1" w:styleId="38">
    <w:name w:val="符号列表"/>
    <w:basedOn w:val="1"/>
    <w:next w:val="39"/>
    <w:qFormat/>
    <w:uiPriority w:val="34"/>
    <w:pPr>
      <w:ind w:firstLine="420" w:firstLineChars="200"/>
    </w:pPr>
    <w:rPr>
      <w:lang w:val="zh-CN"/>
    </w:rPr>
  </w:style>
  <w:style w:type="paragraph" w:styleId="39">
    <w:name w:val="List Paragraph"/>
    <w:basedOn w:val="1"/>
    <w:qFormat/>
    <w:uiPriority w:val="34"/>
    <w:pPr>
      <w:ind w:firstLine="420" w:firstLineChars="200"/>
    </w:p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Table Text"/>
    <w:basedOn w:val="1"/>
    <w:semiHidden/>
    <w:qFormat/>
    <w:uiPriority w:val="0"/>
    <w:rPr>
      <w:rFonts w:ascii="宋体" w:hAnsi="宋体" w:cs="宋体"/>
      <w:sz w:val="18"/>
      <w:szCs w:val="18"/>
      <w:lang w:eastAsia="en-US"/>
    </w:rPr>
  </w:style>
  <w:style w:type="paragraph" w:customStyle="1" w:styleId="42">
    <w:name w:val="修订1"/>
    <w:hidden/>
    <w:unhideWhenUsed/>
    <w:qFormat/>
    <w:uiPriority w:val="99"/>
    <w:rPr>
      <w:rFonts w:ascii="Calibri" w:hAnsi="Calibri" w:eastAsia="宋体" w:cs="Calibri"/>
      <w:kern w:val="2"/>
      <w:sz w:val="21"/>
      <w:szCs w:val="22"/>
      <w:lang w:val="en-US" w:eastAsia="zh-CN" w:bidi="ar-SA"/>
    </w:rPr>
  </w:style>
  <w:style w:type="paragraph" w:customStyle="1" w:styleId="43">
    <w:name w:val="Revision"/>
    <w:hidden/>
    <w:unhideWhenUsed/>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60</Pages>
  <Words>4417</Words>
  <Characters>25179</Characters>
  <Lines>209</Lines>
  <Paragraphs>59</Paragraphs>
  <TotalTime>19</TotalTime>
  <ScaleCrop>false</ScaleCrop>
  <LinksUpToDate>false</LinksUpToDate>
  <CharactersWithSpaces>29537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2025-12-09T08:27:00Z</dcterms:created>
  <dc:creator>吴军</dc:creator>
  <cp:lastModifiedBy>丛玉凤</cp:lastModifiedBy>
  <dcterms:modified xsi:type="dcterms:W3CDTF">2025-12-17T02:51:42Z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9BFB3CFB58CA489C8D9E4D1545AF72C0</vt:lpwstr>
  </property>
  <property fmtid="{D5CDD505-2E9C-101B-9397-08002B2CF9AE}" pid="4" name="KSOTemplateDocerSaveRecord">
    <vt:lpwstr>eyJoZGlkIjoiZmIzYmY1ZWI2YTk4OWZhYzIxMmMzYzRmNDllZDc3NmYifQ==</vt:lpwstr>
  </property>
</Properties>
</file>